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0D7A1" w14:textId="3FA6DA8E" w:rsidR="00713B75" w:rsidRPr="00EF40AA" w:rsidRDefault="00722478" w:rsidP="00CF19C8">
      <w:pPr>
        <w:ind w:firstLine="284"/>
        <w:jc w:val="center"/>
        <w:rPr>
          <w:rFonts w:ascii="Verdana" w:hAnsi="Verdana"/>
          <w:b/>
          <w:noProof/>
        </w:rPr>
      </w:pPr>
      <w:r w:rsidRPr="00EF40AA">
        <w:rPr>
          <w:rFonts w:ascii="Verdana" w:hAnsi="Verdana"/>
          <w:b/>
          <w:noProof/>
        </w:rPr>
        <w:t xml:space="preserve">Правила проведения акции </w:t>
      </w:r>
      <w:r w:rsidR="00602AE3" w:rsidRPr="00EF40AA">
        <w:rPr>
          <w:rFonts w:ascii="Verdana" w:hAnsi="Verdana"/>
          <w:b/>
          <w:noProof/>
        </w:rPr>
        <w:t>по срочному вкладу «СОЗВЕЗДИЕ ВАЛЮТ»</w:t>
      </w:r>
      <w:r w:rsidR="00D8032C" w:rsidRPr="00EF40AA">
        <w:rPr>
          <w:rFonts w:ascii="Verdana" w:hAnsi="Verdana"/>
          <w:b/>
          <w:noProof/>
        </w:rPr>
        <w:t xml:space="preserve"> </w:t>
      </w:r>
    </w:p>
    <w:p w14:paraId="70FD274F" w14:textId="1BC47296" w:rsidR="00722478" w:rsidRPr="00EF40AA" w:rsidRDefault="00722478" w:rsidP="00CF19C8">
      <w:pPr>
        <w:ind w:firstLine="284"/>
        <w:jc w:val="center"/>
        <w:rPr>
          <w:rFonts w:ascii="Verdana" w:hAnsi="Verdana"/>
          <w:b/>
          <w:noProof/>
        </w:rPr>
      </w:pPr>
      <w:r w:rsidRPr="00EF40AA">
        <w:rPr>
          <w:rFonts w:ascii="Verdana" w:hAnsi="Verdana"/>
          <w:b/>
          <w:noProof/>
        </w:rPr>
        <w:t xml:space="preserve">в ББР Банке (АО) </w:t>
      </w:r>
      <w:r w:rsidR="00D8032C" w:rsidRPr="00EF40AA">
        <w:rPr>
          <w:rFonts w:ascii="Verdana" w:hAnsi="Verdana"/>
          <w:b/>
          <w:noProof/>
        </w:rPr>
        <w:t xml:space="preserve">среди </w:t>
      </w:r>
      <w:r w:rsidRPr="00EF40AA">
        <w:rPr>
          <w:rFonts w:ascii="Verdana" w:hAnsi="Verdana"/>
          <w:b/>
          <w:noProof/>
        </w:rPr>
        <w:t>физически</w:t>
      </w:r>
      <w:r w:rsidR="00D8032C" w:rsidRPr="00EF40AA">
        <w:rPr>
          <w:rFonts w:ascii="Verdana" w:hAnsi="Verdana"/>
          <w:b/>
          <w:noProof/>
        </w:rPr>
        <w:t>х</w:t>
      </w:r>
      <w:r w:rsidR="004A4409" w:rsidRPr="00EF40AA">
        <w:rPr>
          <w:rFonts w:ascii="Verdana" w:hAnsi="Verdana"/>
          <w:b/>
          <w:noProof/>
        </w:rPr>
        <w:t xml:space="preserve"> лиц </w:t>
      </w:r>
      <w:r w:rsidRPr="00EF40AA">
        <w:rPr>
          <w:rFonts w:ascii="Verdana" w:hAnsi="Verdana"/>
          <w:b/>
          <w:noProof/>
        </w:rPr>
        <w:t>- вкладчик</w:t>
      </w:r>
      <w:r w:rsidR="00D8032C" w:rsidRPr="00EF40AA">
        <w:rPr>
          <w:rFonts w:ascii="Verdana" w:hAnsi="Verdana"/>
          <w:b/>
          <w:noProof/>
        </w:rPr>
        <w:t>ов</w:t>
      </w:r>
      <w:r w:rsidRPr="00EF40AA">
        <w:rPr>
          <w:rFonts w:ascii="Verdana" w:hAnsi="Verdana"/>
          <w:b/>
          <w:noProof/>
        </w:rPr>
        <w:t xml:space="preserve"> Банка.</w:t>
      </w:r>
    </w:p>
    <w:p w14:paraId="3AD9EA3A" w14:textId="77777777" w:rsidR="00722478" w:rsidRPr="0013148B" w:rsidRDefault="00722478" w:rsidP="00CF19C8">
      <w:pPr>
        <w:ind w:firstLine="284"/>
        <w:jc w:val="both"/>
        <w:rPr>
          <w:rFonts w:ascii="Verdana" w:hAnsi="Verdana"/>
          <w:b/>
          <w:noProof/>
          <w:sz w:val="14"/>
          <w:szCs w:val="14"/>
        </w:rPr>
      </w:pPr>
    </w:p>
    <w:p w14:paraId="54FB7588" w14:textId="66188A25" w:rsidR="00722478" w:rsidRPr="00EF40AA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20"/>
          <w:szCs w:val="20"/>
        </w:rPr>
      </w:pPr>
      <w:r w:rsidRPr="00EF40AA">
        <w:rPr>
          <w:rFonts w:ascii="Verdana" w:hAnsi="Verdana"/>
          <w:b/>
          <w:noProof/>
          <w:sz w:val="20"/>
          <w:szCs w:val="20"/>
        </w:rPr>
        <w:t xml:space="preserve">Акция </w:t>
      </w:r>
      <w:r w:rsidRPr="00EF40AA">
        <w:rPr>
          <w:rFonts w:ascii="Verdana" w:hAnsi="Verdana"/>
          <w:noProof/>
          <w:sz w:val="20"/>
          <w:szCs w:val="20"/>
        </w:rPr>
        <w:t xml:space="preserve">(далее – Акция) проводится </w:t>
      </w:r>
      <w:r w:rsidR="00D8032C" w:rsidRPr="00EF40AA">
        <w:rPr>
          <w:rFonts w:ascii="Verdana" w:hAnsi="Verdana"/>
          <w:noProof/>
          <w:sz w:val="20"/>
          <w:szCs w:val="20"/>
        </w:rPr>
        <w:t>в рамках рекламной кампании по привлечению ББР Банком (АО) (далее – Банк) денежных средств физических лиц в срочны</w:t>
      </w:r>
      <w:r w:rsidR="00602AE3" w:rsidRPr="00EF40AA">
        <w:rPr>
          <w:rFonts w:ascii="Verdana" w:hAnsi="Verdana"/>
          <w:noProof/>
          <w:sz w:val="20"/>
          <w:szCs w:val="20"/>
        </w:rPr>
        <w:t>й</w:t>
      </w:r>
      <w:r w:rsidR="00D8032C" w:rsidRPr="00EF40AA">
        <w:rPr>
          <w:rFonts w:ascii="Verdana" w:hAnsi="Verdana"/>
          <w:noProof/>
          <w:sz w:val="20"/>
          <w:szCs w:val="20"/>
        </w:rPr>
        <w:t xml:space="preserve"> вклад</w:t>
      </w:r>
      <w:r w:rsidR="00602AE3" w:rsidRPr="00EF40AA">
        <w:rPr>
          <w:rFonts w:ascii="Verdana" w:hAnsi="Verdana"/>
          <w:noProof/>
          <w:sz w:val="20"/>
          <w:szCs w:val="20"/>
        </w:rPr>
        <w:t xml:space="preserve"> «СОЗВЕЗДИЕ ВАЛЮТ» (далее - Вклад)</w:t>
      </w:r>
      <w:r w:rsidR="00A50C30" w:rsidRPr="00EF40AA">
        <w:rPr>
          <w:rFonts w:ascii="Verdana" w:hAnsi="Verdana"/>
          <w:noProof/>
          <w:sz w:val="20"/>
          <w:szCs w:val="20"/>
        </w:rPr>
        <w:t>.</w:t>
      </w:r>
    </w:p>
    <w:p w14:paraId="4DD8C0AA" w14:textId="77777777" w:rsidR="00892E44" w:rsidRPr="0013148B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14"/>
          <w:szCs w:val="14"/>
        </w:rPr>
      </w:pPr>
    </w:p>
    <w:p w14:paraId="0F6426EE" w14:textId="69978DBB" w:rsidR="00722478" w:rsidRPr="00EF40AA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20"/>
          <w:szCs w:val="20"/>
        </w:rPr>
      </w:pPr>
      <w:r w:rsidRPr="00EF40AA">
        <w:rPr>
          <w:rFonts w:ascii="Verdana" w:hAnsi="Verdana"/>
          <w:b/>
          <w:noProof/>
          <w:sz w:val="20"/>
          <w:szCs w:val="20"/>
        </w:rPr>
        <w:t xml:space="preserve">Период проведения Акции: с </w:t>
      </w:r>
      <w:r w:rsidR="006D1D2A" w:rsidRPr="00EF40AA">
        <w:rPr>
          <w:rFonts w:ascii="Verdana" w:hAnsi="Verdana"/>
          <w:b/>
          <w:noProof/>
          <w:sz w:val="20"/>
          <w:szCs w:val="20"/>
        </w:rPr>
        <w:t>2</w:t>
      </w:r>
      <w:r w:rsidR="005874F9">
        <w:rPr>
          <w:rFonts w:ascii="Verdana" w:hAnsi="Verdana"/>
          <w:b/>
          <w:noProof/>
          <w:sz w:val="20"/>
          <w:szCs w:val="20"/>
        </w:rPr>
        <w:t>6</w:t>
      </w:r>
      <w:r w:rsidRPr="00EF40AA">
        <w:rPr>
          <w:rFonts w:ascii="Verdana" w:hAnsi="Verdana"/>
          <w:b/>
          <w:noProof/>
          <w:sz w:val="20"/>
          <w:szCs w:val="20"/>
        </w:rPr>
        <w:t xml:space="preserve"> </w:t>
      </w:r>
      <w:r w:rsidR="00602AE3" w:rsidRPr="00EF40AA">
        <w:rPr>
          <w:rFonts w:ascii="Verdana" w:hAnsi="Verdana"/>
          <w:b/>
          <w:noProof/>
          <w:sz w:val="20"/>
          <w:szCs w:val="20"/>
        </w:rPr>
        <w:t>апреля</w:t>
      </w:r>
      <w:r w:rsidRPr="00EF40AA">
        <w:rPr>
          <w:rFonts w:ascii="Verdana" w:hAnsi="Verdana"/>
          <w:b/>
          <w:noProof/>
          <w:sz w:val="20"/>
          <w:szCs w:val="20"/>
        </w:rPr>
        <w:t xml:space="preserve"> 202</w:t>
      </w:r>
      <w:r w:rsidR="00E73E44" w:rsidRPr="00EF40AA">
        <w:rPr>
          <w:rFonts w:ascii="Verdana" w:hAnsi="Verdana"/>
          <w:b/>
          <w:noProof/>
          <w:sz w:val="20"/>
          <w:szCs w:val="20"/>
        </w:rPr>
        <w:t xml:space="preserve">2 </w:t>
      </w:r>
      <w:r w:rsidRPr="00EF40AA">
        <w:rPr>
          <w:rFonts w:ascii="Verdana" w:hAnsi="Verdana"/>
          <w:b/>
          <w:noProof/>
          <w:sz w:val="20"/>
          <w:szCs w:val="20"/>
        </w:rPr>
        <w:t xml:space="preserve">г. </w:t>
      </w:r>
      <w:r w:rsidR="00E73E44" w:rsidRPr="00171F5C">
        <w:rPr>
          <w:rFonts w:ascii="Verdana" w:hAnsi="Verdana"/>
          <w:b/>
          <w:noProof/>
          <w:sz w:val="20"/>
          <w:szCs w:val="20"/>
        </w:rPr>
        <w:t xml:space="preserve">до </w:t>
      </w:r>
      <w:r w:rsidR="00155345" w:rsidRPr="00171F5C">
        <w:rPr>
          <w:rFonts w:ascii="Verdana" w:hAnsi="Verdana"/>
          <w:b/>
          <w:noProof/>
          <w:sz w:val="20"/>
          <w:szCs w:val="20"/>
        </w:rPr>
        <w:t>3</w:t>
      </w:r>
      <w:r w:rsidR="0013148B" w:rsidRPr="00171F5C">
        <w:rPr>
          <w:rFonts w:ascii="Verdana" w:hAnsi="Verdana"/>
          <w:b/>
          <w:noProof/>
          <w:sz w:val="20"/>
          <w:szCs w:val="20"/>
        </w:rPr>
        <w:t>0</w:t>
      </w:r>
      <w:r w:rsidR="00E73E44" w:rsidRPr="00171F5C">
        <w:rPr>
          <w:rFonts w:ascii="Verdana" w:hAnsi="Verdana"/>
          <w:b/>
          <w:noProof/>
          <w:sz w:val="20"/>
          <w:szCs w:val="20"/>
        </w:rPr>
        <w:t xml:space="preserve"> </w:t>
      </w:r>
      <w:r w:rsidR="0013148B" w:rsidRPr="00171F5C">
        <w:rPr>
          <w:rFonts w:ascii="Verdana" w:hAnsi="Verdana"/>
          <w:b/>
          <w:noProof/>
          <w:sz w:val="20"/>
          <w:szCs w:val="20"/>
        </w:rPr>
        <w:t>июня</w:t>
      </w:r>
      <w:r w:rsidR="00E73E44" w:rsidRPr="00171F5C">
        <w:rPr>
          <w:rFonts w:ascii="Verdana" w:hAnsi="Verdana"/>
          <w:b/>
          <w:noProof/>
          <w:sz w:val="20"/>
          <w:szCs w:val="20"/>
        </w:rPr>
        <w:t xml:space="preserve"> 2022 г. (вк</w:t>
      </w:r>
      <w:r w:rsidR="00155345" w:rsidRPr="00171F5C">
        <w:rPr>
          <w:rFonts w:ascii="Verdana" w:hAnsi="Verdana"/>
          <w:b/>
          <w:noProof/>
          <w:sz w:val="20"/>
          <w:szCs w:val="20"/>
        </w:rPr>
        <w:t>л</w:t>
      </w:r>
      <w:r w:rsidR="00E73E44" w:rsidRPr="00171F5C">
        <w:rPr>
          <w:rFonts w:ascii="Verdana" w:hAnsi="Verdana"/>
          <w:b/>
          <w:noProof/>
          <w:sz w:val="20"/>
          <w:szCs w:val="20"/>
        </w:rPr>
        <w:t>.).</w:t>
      </w:r>
      <w:r w:rsidRPr="00171F5C">
        <w:rPr>
          <w:rFonts w:ascii="Verdana" w:hAnsi="Verdana"/>
          <w:noProof/>
          <w:sz w:val="20"/>
          <w:szCs w:val="20"/>
        </w:rPr>
        <w:t xml:space="preserve"> Банк </w:t>
      </w:r>
      <w:r w:rsidRPr="00EF40AA">
        <w:rPr>
          <w:rFonts w:ascii="Verdana" w:hAnsi="Verdana"/>
          <w:noProof/>
          <w:sz w:val="20"/>
          <w:szCs w:val="20"/>
        </w:rPr>
        <w:t>вправе в одностороннем порядке изменить сроки проведения Акции или отменить проведение Акции в поря</w:t>
      </w:r>
      <w:r w:rsidR="00A97883" w:rsidRPr="00EF40AA">
        <w:rPr>
          <w:rFonts w:ascii="Verdana" w:hAnsi="Verdana"/>
          <w:noProof/>
          <w:sz w:val="20"/>
          <w:szCs w:val="20"/>
        </w:rPr>
        <w:t>дке и сроки, установленные в п.</w:t>
      </w:r>
      <w:r w:rsidR="00B32966" w:rsidRPr="00EF40AA">
        <w:rPr>
          <w:rFonts w:ascii="Verdana" w:hAnsi="Verdana"/>
          <w:noProof/>
          <w:sz w:val="20"/>
          <w:szCs w:val="20"/>
        </w:rPr>
        <w:t>7</w:t>
      </w:r>
      <w:r w:rsidR="00A97883" w:rsidRPr="00EF40AA">
        <w:rPr>
          <w:rFonts w:ascii="Verdana" w:hAnsi="Verdana"/>
          <w:noProof/>
          <w:sz w:val="20"/>
          <w:szCs w:val="20"/>
        </w:rPr>
        <w:t xml:space="preserve"> </w:t>
      </w:r>
      <w:r w:rsidRPr="00EF40AA">
        <w:rPr>
          <w:rFonts w:ascii="Verdana" w:hAnsi="Verdana"/>
          <w:noProof/>
          <w:sz w:val="20"/>
          <w:szCs w:val="20"/>
        </w:rPr>
        <w:t>Правил.</w:t>
      </w:r>
    </w:p>
    <w:p w14:paraId="103644E4" w14:textId="77777777" w:rsidR="00892E44" w:rsidRPr="0013148B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14"/>
          <w:szCs w:val="14"/>
        </w:rPr>
      </w:pPr>
    </w:p>
    <w:p w14:paraId="0CFD9CCC" w14:textId="77777777" w:rsidR="00722478" w:rsidRPr="00EF40AA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20"/>
          <w:szCs w:val="20"/>
        </w:rPr>
      </w:pPr>
      <w:r w:rsidRPr="00EF40AA">
        <w:rPr>
          <w:rFonts w:ascii="Verdana" w:hAnsi="Verdana"/>
          <w:b/>
          <w:noProof/>
          <w:sz w:val="20"/>
          <w:szCs w:val="20"/>
        </w:rPr>
        <w:t xml:space="preserve">Организатор Акции: </w:t>
      </w:r>
      <w:r w:rsidR="00E73E44" w:rsidRPr="00EF40AA">
        <w:rPr>
          <w:rFonts w:ascii="Verdana" w:hAnsi="Verdana"/>
          <w:noProof/>
          <w:sz w:val="20"/>
          <w:szCs w:val="20"/>
        </w:rPr>
        <w:t>ББР Банк (АО), лицензия на осуществление банковских операций от 27 января 2015 года № 2929; номер в реестре банков-участников обязательного страхования вкладов № 795, дата внесения в реестр — 21 марта 2005 года.</w:t>
      </w:r>
    </w:p>
    <w:p w14:paraId="7874F9E6" w14:textId="77777777" w:rsidR="00892E44" w:rsidRPr="0013148B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14"/>
          <w:szCs w:val="14"/>
        </w:rPr>
      </w:pPr>
    </w:p>
    <w:p w14:paraId="3AA3EACF" w14:textId="49BA8ABA" w:rsidR="00722478" w:rsidRPr="00FE17AA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20"/>
          <w:szCs w:val="20"/>
        </w:rPr>
      </w:pPr>
      <w:r w:rsidRPr="00EF40AA">
        <w:rPr>
          <w:rFonts w:ascii="Verdana" w:hAnsi="Verdana"/>
          <w:b/>
          <w:noProof/>
          <w:sz w:val="20"/>
          <w:szCs w:val="20"/>
        </w:rPr>
        <w:t>Место проведения А</w:t>
      </w:r>
      <w:bookmarkStart w:id="0" w:name="_GoBack"/>
      <w:bookmarkEnd w:id="0"/>
      <w:r w:rsidRPr="00EF40AA">
        <w:rPr>
          <w:rFonts w:ascii="Verdana" w:hAnsi="Verdana"/>
          <w:b/>
          <w:noProof/>
          <w:sz w:val="20"/>
          <w:szCs w:val="20"/>
        </w:rPr>
        <w:t xml:space="preserve">кции: </w:t>
      </w:r>
      <w:r w:rsidR="00FE17AA" w:rsidRPr="00CB68B8">
        <w:rPr>
          <w:rFonts w:ascii="Verdana" w:hAnsi="Verdana"/>
          <w:noProof/>
        </w:rPr>
        <w:t>Центральный офис Банка, включая Дополнительные офисы «Покровка»</w:t>
      </w:r>
      <w:r w:rsidR="00FE17AA">
        <w:rPr>
          <w:rFonts w:ascii="Verdana" w:hAnsi="Verdana"/>
          <w:noProof/>
        </w:rPr>
        <w:t>,</w:t>
      </w:r>
      <w:r w:rsidR="00FE17AA" w:rsidRPr="00CB68B8">
        <w:rPr>
          <w:rFonts w:ascii="Verdana" w:hAnsi="Verdana"/>
          <w:noProof/>
        </w:rPr>
        <w:t xml:space="preserve"> «Химки»</w:t>
      </w:r>
      <w:r w:rsidR="00FE17AA">
        <w:rPr>
          <w:rFonts w:ascii="Verdana" w:hAnsi="Verdana"/>
          <w:noProof/>
        </w:rPr>
        <w:t xml:space="preserve">, «Красноярск», «Советский», «Правобережный», </w:t>
      </w:r>
      <w:r w:rsidR="00E73E44" w:rsidRPr="00EF40AA">
        <w:rPr>
          <w:rFonts w:ascii="Verdana" w:hAnsi="Verdana"/>
          <w:noProof/>
          <w:sz w:val="20"/>
          <w:szCs w:val="20"/>
        </w:rPr>
        <w:t>филиалы Банка</w:t>
      </w:r>
      <w:r w:rsidR="00FE17AA">
        <w:rPr>
          <w:rFonts w:ascii="Verdana" w:hAnsi="Verdana"/>
          <w:noProof/>
          <w:sz w:val="20"/>
          <w:szCs w:val="20"/>
        </w:rPr>
        <w:t xml:space="preserve"> в г. Санкт-Петербург и г. Владивосток, включая</w:t>
      </w:r>
      <w:r w:rsidR="00E73E44" w:rsidRPr="00EF40AA">
        <w:rPr>
          <w:rFonts w:ascii="Verdana" w:hAnsi="Verdana"/>
          <w:noProof/>
          <w:sz w:val="20"/>
          <w:szCs w:val="20"/>
        </w:rPr>
        <w:t xml:space="preserve"> их внутренние структурные подразделения</w:t>
      </w:r>
      <w:r w:rsidRPr="00EF40AA">
        <w:rPr>
          <w:rFonts w:ascii="Verdana" w:hAnsi="Verdana"/>
          <w:noProof/>
          <w:sz w:val="20"/>
          <w:szCs w:val="20"/>
        </w:rPr>
        <w:t>.</w:t>
      </w:r>
    </w:p>
    <w:p w14:paraId="3D73E396" w14:textId="77777777" w:rsidR="00892E44" w:rsidRPr="0013148B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14"/>
          <w:szCs w:val="14"/>
        </w:rPr>
      </w:pPr>
    </w:p>
    <w:p w14:paraId="21EEC9E9" w14:textId="5F89B4EF" w:rsidR="00722478" w:rsidRPr="00EF40AA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20"/>
          <w:szCs w:val="20"/>
        </w:rPr>
      </w:pPr>
      <w:r w:rsidRPr="00EF40AA">
        <w:rPr>
          <w:rFonts w:ascii="Verdana" w:hAnsi="Verdana"/>
          <w:b/>
          <w:noProof/>
          <w:sz w:val="20"/>
          <w:szCs w:val="20"/>
        </w:rPr>
        <w:t xml:space="preserve">Участники Акции: </w:t>
      </w:r>
      <w:r w:rsidRPr="00EF40AA">
        <w:rPr>
          <w:rFonts w:ascii="Verdana" w:hAnsi="Verdana"/>
          <w:sz w:val="20"/>
          <w:szCs w:val="20"/>
        </w:rPr>
        <w:t>Физические лица – вкладчики Банка,</w:t>
      </w:r>
      <w:r w:rsidR="00D8032C" w:rsidRPr="00EF40AA">
        <w:rPr>
          <w:rFonts w:ascii="Verdana" w:hAnsi="Verdana"/>
          <w:sz w:val="20"/>
          <w:szCs w:val="20"/>
        </w:rPr>
        <w:t xml:space="preserve"> открывающие срочны</w:t>
      </w:r>
      <w:r w:rsidR="00602AE3" w:rsidRPr="00EF40AA">
        <w:rPr>
          <w:rFonts w:ascii="Verdana" w:hAnsi="Verdana"/>
          <w:sz w:val="20"/>
          <w:szCs w:val="20"/>
        </w:rPr>
        <w:t>й</w:t>
      </w:r>
      <w:r w:rsidR="00D8032C" w:rsidRPr="00EF40AA">
        <w:rPr>
          <w:rFonts w:ascii="Verdana" w:hAnsi="Verdana"/>
          <w:sz w:val="20"/>
          <w:szCs w:val="20"/>
        </w:rPr>
        <w:t xml:space="preserve"> вклад </w:t>
      </w:r>
      <w:r w:rsidR="00602AE3" w:rsidRPr="00EF40AA">
        <w:rPr>
          <w:rFonts w:ascii="Verdana" w:hAnsi="Verdana"/>
          <w:sz w:val="20"/>
          <w:szCs w:val="20"/>
        </w:rPr>
        <w:t>«СОЗВЕЗДИЕ ВАЛЮТ»</w:t>
      </w:r>
      <w:r w:rsidR="000477FE" w:rsidRPr="00EF40AA">
        <w:rPr>
          <w:rFonts w:ascii="Verdana" w:hAnsi="Verdana"/>
          <w:sz w:val="20"/>
          <w:szCs w:val="20"/>
        </w:rPr>
        <w:t xml:space="preserve"> на Новые деньги</w:t>
      </w:r>
      <w:r w:rsidR="00E73E44" w:rsidRPr="00EF40AA">
        <w:rPr>
          <w:rFonts w:ascii="Verdana" w:hAnsi="Verdana"/>
          <w:sz w:val="20"/>
          <w:szCs w:val="20"/>
        </w:rPr>
        <w:t>.</w:t>
      </w:r>
    </w:p>
    <w:p w14:paraId="2E62DDCF" w14:textId="77777777" w:rsidR="000477FE" w:rsidRPr="0013148B" w:rsidRDefault="000477FE" w:rsidP="000477FE">
      <w:pPr>
        <w:pStyle w:val="a8"/>
        <w:rPr>
          <w:rFonts w:ascii="Verdana" w:hAnsi="Verdana"/>
          <w:noProof/>
          <w:sz w:val="14"/>
          <w:szCs w:val="14"/>
        </w:rPr>
      </w:pPr>
    </w:p>
    <w:p w14:paraId="260E8AC7" w14:textId="07947118" w:rsidR="000477FE" w:rsidRPr="00EF40AA" w:rsidRDefault="000477FE" w:rsidP="000477FE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noProof/>
          <w:sz w:val="20"/>
          <w:szCs w:val="20"/>
        </w:rPr>
      </w:pPr>
      <w:r w:rsidRPr="00EF40AA">
        <w:rPr>
          <w:rFonts w:ascii="Verdana" w:hAnsi="Verdana"/>
          <w:noProof/>
          <w:sz w:val="20"/>
          <w:szCs w:val="20"/>
        </w:rPr>
        <w:t xml:space="preserve">Под Новыми деньгами понимаются денежные средства физического лица, поступившие в Банк </w:t>
      </w:r>
      <w:r w:rsidR="00340DEC">
        <w:rPr>
          <w:rFonts w:ascii="Verdana" w:hAnsi="Verdana"/>
          <w:noProof/>
          <w:sz w:val="20"/>
          <w:szCs w:val="20"/>
        </w:rPr>
        <w:t xml:space="preserve">наличными через кассу Банка </w:t>
      </w:r>
      <w:r w:rsidRPr="00EF40AA">
        <w:rPr>
          <w:rFonts w:ascii="Verdana" w:hAnsi="Verdana"/>
          <w:noProof/>
          <w:sz w:val="20"/>
          <w:szCs w:val="20"/>
        </w:rPr>
        <w:t>в дату открытия вклада «</w:t>
      </w:r>
      <w:r w:rsidR="00EF40AA" w:rsidRPr="00EF40AA">
        <w:rPr>
          <w:rFonts w:ascii="Verdana" w:hAnsi="Verdana"/>
          <w:noProof/>
          <w:sz w:val="20"/>
          <w:szCs w:val="20"/>
        </w:rPr>
        <w:t>СОЗВЕЗДИЕ ВАЛЮТ</w:t>
      </w:r>
      <w:r w:rsidRPr="00EF40AA">
        <w:rPr>
          <w:rFonts w:ascii="Verdana" w:hAnsi="Verdana"/>
          <w:noProof/>
          <w:sz w:val="20"/>
          <w:szCs w:val="20"/>
        </w:rPr>
        <w:t xml:space="preserve">», при условии, что по действующим счетам </w:t>
      </w:r>
      <w:r w:rsidR="001F7CF5">
        <w:rPr>
          <w:rFonts w:ascii="Verdana" w:hAnsi="Verdana"/>
          <w:noProof/>
          <w:sz w:val="20"/>
          <w:szCs w:val="20"/>
        </w:rPr>
        <w:t xml:space="preserve">в соответствующей валюте </w:t>
      </w:r>
      <w:r w:rsidRPr="00EF40AA">
        <w:rPr>
          <w:rFonts w:ascii="Verdana" w:hAnsi="Verdana"/>
          <w:noProof/>
          <w:sz w:val="20"/>
          <w:szCs w:val="20"/>
        </w:rPr>
        <w:t xml:space="preserve">(в том числе счетам банковских карт)/вкладам такого физического лица в Банке, в течение 14 календарных дней до даты открытия </w:t>
      </w:r>
      <w:r w:rsidR="00EF40AA">
        <w:rPr>
          <w:rFonts w:ascii="Verdana" w:hAnsi="Verdana"/>
          <w:noProof/>
          <w:sz w:val="20"/>
          <w:szCs w:val="20"/>
        </w:rPr>
        <w:t>Вклада</w:t>
      </w:r>
      <w:r w:rsidRPr="00EF40AA">
        <w:rPr>
          <w:rFonts w:ascii="Verdana" w:hAnsi="Verdana"/>
          <w:noProof/>
          <w:sz w:val="20"/>
          <w:szCs w:val="20"/>
        </w:rPr>
        <w:t xml:space="preserve"> не совершались расходные операции на сумму равную </w:t>
      </w:r>
      <w:r w:rsidR="00EF40AA" w:rsidRPr="00EF40AA">
        <w:rPr>
          <w:rFonts w:ascii="Verdana" w:hAnsi="Verdana"/>
          <w:noProof/>
          <w:sz w:val="20"/>
          <w:szCs w:val="20"/>
        </w:rPr>
        <w:t>1 000</w:t>
      </w:r>
      <w:r w:rsidRPr="00EF40AA">
        <w:rPr>
          <w:rFonts w:ascii="Verdana" w:hAnsi="Verdana"/>
          <w:noProof/>
          <w:sz w:val="20"/>
          <w:szCs w:val="20"/>
        </w:rPr>
        <w:t xml:space="preserve"> </w:t>
      </w:r>
      <w:r w:rsidR="00EF40AA" w:rsidRPr="00EF40AA">
        <w:rPr>
          <w:rFonts w:ascii="Verdana" w:hAnsi="Verdana"/>
          <w:noProof/>
          <w:sz w:val="20"/>
          <w:szCs w:val="20"/>
        </w:rPr>
        <w:t>долларов США</w:t>
      </w:r>
      <w:r w:rsidR="001F7CF5">
        <w:rPr>
          <w:rFonts w:ascii="Verdana" w:hAnsi="Verdana"/>
          <w:noProof/>
          <w:sz w:val="20"/>
          <w:szCs w:val="20"/>
        </w:rPr>
        <w:t xml:space="preserve"> или 1 000 </w:t>
      </w:r>
      <w:r w:rsidR="00EF40AA" w:rsidRPr="00EF40AA">
        <w:rPr>
          <w:rFonts w:ascii="Verdana" w:hAnsi="Verdana"/>
          <w:noProof/>
          <w:sz w:val="20"/>
          <w:szCs w:val="20"/>
        </w:rPr>
        <w:t>евро</w:t>
      </w:r>
      <w:r w:rsidR="001F7CF5">
        <w:rPr>
          <w:rFonts w:ascii="Verdana" w:hAnsi="Verdana"/>
          <w:noProof/>
          <w:sz w:val="20"/>
          <w:szCs w:val="20"/>
        </w:rPr>
        <w:t xml:space="preserve"> или</w:t>
      </w:r>
      <w:r w:rsidR="00EF40AA" w:rsidRPr="00EF40AA">
        <w:rPr>
          <w:rFonts w:ascii="Verdana" w:hAnsi="Verdana"/>
          <w:noProof/>
          <w:sz w:val="20"/>
          <w:szCs w:val="20"/>
        </w:rPr>
        <w:t xml:space="preserve"> 10 000 китайских юаней</w:t>
      </w:r>
      <w:r w:rsidRPr="00EF40AA">
        <w:rPr>
          <w:rFonts w:ascii="Verdana" w:hAnsi="Verdana"/>
          <w:noProof/>
          <w:sz w:val="20"/>
          <w:szCs w:val="20"/>
        </w:rPr>
        <w:t xml:space="preserve"> и более.</w:t>
      </w:r>
    </w:p>
    <w:p w14:paraId="60C4B002" w14:textId="77777777" w:rsidR="005774D5" w:rsidRPr="0013148B" w:rsidRDefault="005774D5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sz w:val="14"/>
          <w:szCs w:val="14"/>
        </w:rPr>
      </w:pPr>
    </w:p>
    <w:p w14:paraId="53887709" w14:textId="6D144A25" w:rsidR="008154F9" w:rsidRPr="00EF40AA" w:rsidRDefault="00722478" w:rsidP="002074D4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EF40AA">
        <w:rPr>
          <w:rFonts w:ascii="Verdana" w:hAnsi="Verdana"/>
          <w:b/>
          <w:noProof/>
          <w:sz w:val="20"/>
          <w:szCs w:val="20"/>
        </w:rPr>
        <w:t>Условия проведения Акции:</w:t>
      </w:r>
      <w:r w:rsidR="00AC22FD" w:rsidRPr="00EF40AA">
        <w:rPr>
          <w:rFonts w:ascii="Verdana" w:hAnsi="Verdana"/>
          <w:b/>
          <w:noProof/>
          <w:sz w:val="20"/>
          <w:szCs w:val="20"/>
        </w:rPr>
        <w:t xml:space="preserve"> </w:t>
      </w:r>
      <w:r w:rsidR="008154F9" w:rsidRPr="00EF40AA">
        <w:rPr>
          <w:rFonts w:ascii="Verdana" w:hAnsi="Verdana"/>
          <w:sz w:val="20"/>
          <w:szCs w:val="20"/>
        </w:rPr>
        <w:t xml:space="preserve">При открытии </w:t>
      </w:r>
      <w:r w:rsidR="002074D4">
        <w:rPr>
          <w:rFonts w:ascii="Verdana" w:hAnsi="Verdana"/>
          <w:sz w:val="20"/>
          <w:szCs w:val="20"/>
        </w:rPr>
        <w:t xml:space="preserve">Вклада </w:t>
      </w:r>
      <w:r w:rsidR="008154F9" w:rsidRPr="00EF40AA">
        <w:rPr>
          <w:rFonts w:ascii="Verdana" w:hAnsi="Verdana"/>
          <w:sz w:val="20"/>
          <w:szCs w:val="20"/>
        </w:rPr>
        <w:t>в Период проведения Акции в долларах США, евро или китайских юанях Участник Акции вправе получить надбавку в виде процентов годовых (далее – Процентная надбавка) к процентной ставке, установленной для данного вклада в Условиях приема вкладов от физических лиц в ББР Банке (АО) (далее – Условия приема вкладов) на дату открытия Вклада</w:t>
      </w:r>
      <w:r w:rsidR="002074D4">
        <w:rPr>
          <w:rFonts w:ascii="Verdana" w:hAnsi="Verdana"/>
          <w:sz w:val="20"/>
          <w:szCs w:val="20"/>
        </w:rPr>
        <w:t xml:space="preserve"> для каждого вида валюты</w:t>
      </w:r>
      <w:r w:rsidR="008154F9" w:rsidRPr="00EF40AA">
        <w:rPr>
          <w:rFonts w:ascii="Verdana" w:hAnsi="Verdana"/>
          <w:sz w:val="20"/>
          <w:szCs w:val="20"/>
        </w:rPr>
        <w:t>.</w:t>
      </w:r>
    </w:p>
    <w:p w14:paraId="354B86E9" w14:textId="77777777" w:rsidR="008154F9" w:rsidRPr="00EF40AA" w:rsidRDefault="008154F9" w:rsidP="002074D4">
      <w:pPr>
        <w:pStyle w:val="a8"/>
        <w:spacing w:after="0" w:line="24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EF40AA">
        <w:rPr>
          <w:rFonts w:ascii="Verdana" w:hAnsi="Verdana"/>
          <w:sz w:val="20"/>
          <w:szCs w:val="20"/>
        </w:rPr>
        <w:t xml:space="preserve">Размер Процентной надбавки составляет </w:t>
      </w:r>
      <w:r w:rsidRPr="00EF40AA">
        <w:rPr>
          <w:rFonts w:ascii="Verdana" w:hAnsi="Verdana"/>
          <w:b/>
          <w:sz w:val="20"/>
          <w:szCs w:val="20"/>
        </w:rPr>
        <w:t>0.50% годовых</w:t>
      </w:r>
      <w:r w:rsidRPr="00EF40AA">
        <w:rPr>
          <w:rFonts w:ascii="Verdana" w:hAnsi="Verdana"/>
          <w:sz w:val="20"/>
          <w:szCs w:val="20"/>
        </w:rPr>
        <w:t xml:space="preserve"> (вне зависимости от срока размещения Вклада) и действует до окончания срока действия Вклада (без возобновления Процентной надбавки при продлении Вклада на новый срок).</w:t>
      </w:r>
    </w:p>
    <w:p w14:paraId="2D836F0A" w14:textId="41A95E13" w:rsidR="008154F9" w:rsidRPr="00EF40AA" w:rsidRDefault="008154F9" w:rsidP="002074D4">
      <w:pPr>
        <w:pStyle w:val="a8"/>
        <w:spacing w:after="0" w:line="24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EF40AA">
        <w:rPr>
          <w:rFonts w:ascii="Verdana" w:hAnsi="Verdana"/>
          <w:sz w:val="20"/>
          <w:szCs w:val="20"/>
        </w:rPr>
        <w:t>Каждый Участник Акции вправе открыть неограниченное количество Вкладов с увеличением процентной ставки на условиях Акции.</w:t>
      </w:r>
    </w:p>
    <w:p w14:paraId="2AF984E4" w14:textId="7514B0AB" w:rsidR="008154F9" w:rsidRPr="00EF40AA" w:rsidRDefault="008154F9" w:rsidP="002074D4">
      <w:pPr>
        <w:pStyle w:val="a8"/>
        <w:spacing w:after="0" w:line="240" w:lineRule="auto"/>
        <w:ind w:left="0" w:firstLine="284"/>
        <w:jc w:val="both"/>
        <w:rPr>
          <w:rFonts w:ascii="Verdana" w:hAnsi="Verdana"/>
          <w:noProof/>
          <w:sz w:val="20"/>
          <w:szCs w:val="20"/>
        </w:rPr>
      </w:pPr>
      <w:r w:rsidRPr="00EF40AA">
        <w:rPr>
          <w:rFonts w:ascii="Verdana" w:hAnsi="Verdana"/>
          <w:sz w:val="20"/>
          <w:szCs w:val="20"/>
        </w:rPr>
        <w:t xml:space="preserve">По открываемому новому </w:t>
      </w:r>
      <w:r w:rsidR="00EF40AA">
        <w:rPr>
          <w:rFonts w:ascii="Verdana" w:hAnsi="Verdana"/>
          <w:sz w:val="20"/>
          <w:szCs w:val="20"/>
        </w:rPr>
        <w:t>В</w:t>
      </w:r>
      <w:r w:rsidRPr="00EF40AA">
        <w:rPr>
          <w:rFonts w:ascii="Verdana" w:hAnsi="Verdana"/>
          <w:sz w:val="20"/>
          <w:szCs w:val="20"/>
        </w:rPr>
        <w:t xml:space="preserve">кладу можно </w:t>
      </w:r>
      <w:r w:rsidRPr="00EF40AA">
        <w:rPr>
          <w:rFonts w:ascii="Verdana" w:hAnsi="Verdana"/>
          <w:noProof/>
          <w:sz w:val="20"/>
          <w:szCs w:val="20"/>
        </w:rPr>
        <w:t>получить либо Бонус</w:t>
      </w:r>
      <w:r w:rsidRPr="00EF40AA">
        <w:rPr>
          <w:rStyle w:val="af3"/>
          <w:rFonts w:ascii="Verdana" w:hAnsi="Verdana"/>
          <w:noProof/>
          <w:sz w:val="20"/>
          <w:szCs w:val="20"/>
        </w:rPr>
        <w:footnoteReference w:id="1"/>
      </w:r>
      <w:r w:rsidRPr="00EF40AA">
        <w:rPr>
          <w:rFonts w:ascii="Verdana" w:hAnsi="Verdana"/>
          <w:noProof/>
          <w:sz w:val="20"/>
          <w:szCs w:val="20"/>
        </w:rPr>
        <w:t xml:space="preserve"> (премиальный процент), либо Процентную надбавку по Акции. Размер Бонуса</w:t>
      </w:r>
      <w:r w:rsidRPr="00EF40AA">
        <w:rPr>
          <w:rFonts w:ascii="Verdana" w:hAnsi="Verdana"/>
          <w:noProof/>
          <w:sz w:val="20"/>
          <w:szCs w:val="20"/>
          <w:vertAlign w:val="superscript"/>
        </w:rPr>
        <w:t>1</w:t>
      </w:r>
      <w:r w:rsidRPr="00EF40AA">
        <w:rPr>
          <w:rFonts w:ascii="Verdana" w:hAnsi="Verdana"/>
          <w:noProof/>
          <w:sz w:val="20"/>
          <w:szCs w:val="20"/>
        </w:rPr>
        <w:t xml:space="preserve"> и Процентной надбавки не суммируется.</w:t>
      </w:r>
    </w:p>
    <w:p w14:paraId="133095B3" w14:textId="0401F967" w:rsidR="00D8032C" w:rsidRPr="00EF40AA" w:rsidRDefault="00D8032C" w:rsidP="002074D4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noProof/>
          <w:sz w:val="20"/>
          <w:szCs w:val="20"/>
        </w:rPr>
      </w:pPr>
      <w:r w:rsidRPr="00EF40AA">
        <w:rPr>
          <w:rFonts w:ascii="Verdana" w:hAnsi="Verdana"/>
          <w:noProof/>
          <w:sz w:val="20"/>
          <w:szCs w:val="20"/>
        </w:rPr>
        <w:t xml:space="preserve">Прочие параметры </w:t>
      </w:r>
      <w:r w:rsidR="00602AE3" w:rsidRPr="00EF40AA">
        <w:rPr>
          <w:rFonts w:ascii="Verdana" w:hAnsi="Verdana"/>
          <w:noProof/>
          <w:sz w:val="20"/>
          <w:szCs w:val="20"/>
        </w:rPr>
        <w:t>Вклада</w:t>
      </w:r>
      <w:r w:rsidRPr="00EF40AA">
        <w:rPr>
          <w:rFonts w:ascii="Verdana" w:hAnsi="Verdana"/>
          <w:noProof/>
          <w:sz w:val="20"/>
          <w:szCs w:val="20"/>
        </w:rPr>
        <w:t xml:space="preserve"> применяются в соответствии с Условиями </w:t>
      </w:r>
      <w:r w:rsidR="00E54E21" w:rsidRPr="00EF40AA">
        <w:rPr>
          <w:rFonts w:ascii="Verdana" w:hAnsi="Verdana"/>
          <w:noProof/>
          <w:sz w:val="20"/>
          <w:szCs w:val="20"/>
        </w:rPr>
        <w:t xml:space="preserve">приема </w:t>
      </w:r>
      <w:r w:rsidRPr="00EF40AA">
        <w:rPr>
          <w:rFonts w:ascii="Verdana" w:hAnsi="Verdana"/>
          <w:noProof/>
          <w:sz w:val="20"/>
          <w:szCs w:val="20"/>
        </w:rPr>
        <w:t>вклад</w:t>
      </w:r>
      <w:r w:rsidR="008154F9" w:rsidRPr="00EF40AA">
        <w:rPr>
          <w:rFonts w:ascii="Verdana" w:hAnsi="Verdana"/>
          <w:noProof/>
          <w:sz w:val="20"/>
          <w:szCs w:val="20"/>
        </w:rPr>
        <w:t>ов</w:t>
      </w:r>
      <w:r w:rsidRPr="00EF40AA">
        <w:rPr>
          <w:rFonts w:ascii="Verdana" w:hAnsi="Verdana"/>
          <w:noProof/>
          <w:sz w:val="20"/>
          <w:szCs w:val="20"/>
        </w:rPr>
        <w:t>.</w:t>
      </w:r>
    </w:p>
    <w:p w14:paraId="5F2CF074" w14:textId="4ADED365" w:rsidR="008154F9" w:rsidRPr="00EF40AA" w:rsidRDefault="008154F9" w:rsidP="002074D4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noProof/>
          <w:sz w:val="20"/>
          <w:szCs w:val="20"/>
        </w:rPr>
      </w:pPr>
      <w:r w:rsidRPr="00EF40AA">
        <w:rPr>
          <w:rFonts w:ascii="Verdana" w:hAnsi="Verdana"/>
          <w:noProof/>
          <w:sz w:val="20"/>
          <w:szCs w:val="20"/>
        </w:rPr>
        <w:t>Акция не распространяется на договоры, открываемые в пользу третьих лиц.</w:t>
      </w:r>
    </w:p>
    <w:p w14:paraId="6E0B7871" w14:textId="77777777" w:rsidR="008154F9" w:rsidRPr="0013148B" w:rsidRDefault="008154F9" w:rsidP="002074D4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noProof/>
          <w:sz w:val="14"/>
          <w:szCs w:val="14"/>
        </w:rPr>
      </w:pPr>
    </w:p>
    <w:p w14:paraId="5A44DC91" w14:textId="77777777" w:rsidR="00A843B7" w:rsidRPr="00EF40AA" w:rsidRDefault="00B32966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b/>
          <w:noProof/>
          <w:sz w:val="20"/>
          <w:szCs w:val="20"/>
        </w:rPr>
      </w:pPr>
      <w:r w:rsidRPr="00EF40AA">
        <w:rPr>
          <w:rFonts w:ascii="Verdana" w:hAnsi="Verdana"/>
          <w:b/>
          <w:noProof/>
          <w:sz w:val="20"/>
          <w:szCs w:val="20"/>
        </w:rPr>
        <w:t>7</w:t>
      </w:r>
      <w:r w:rsidR="00A843B7" w:rsidRPr="00EF40AA">
        <w:rPr>
          <w:rFonts w:ascii="Verdana" w:hAnsi="Verdana"/>
          <w:b/>
          <w:noProof/>
          <w:sz w:val="20"/>
          <w:szCs w:val="20"/>
        </w:rPr>
        <w:t xml:space="preserve">. Порядок информирования вкладчиков: </w:t>
      </w:r>
    </w:p>
    <w:p w14:paraId="1ECE896F" w14:textId="10A2F00E" w:rsidR="00A843B7" w:rsidRDefault="00713B75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Verdana" w:hAnsi="Verdana"/>
          <w:noProof/>
          <w:sz w:val="20"/>
          <w:szCs w:val="20"/>
        </w:rPr>
      </w:pPr>
      <w:r w:rsidRPr="00EF40AA">
        <w:rPr>
          <w:rFonts w:ascii="Verdana" w:hAnsi="Verdana"/>
          <w:noProof/>
          <w:sz w:val="20"/>
          <w:szCs w:val="20"/>
        </w:rPr>
        <w:t>Подробная информация об Акции размещена в местах проведения Акции и на</w:t>
      </w:r>
      <w:r w:rsidR="00D06583" w:rsidRPr="00EF40AA">
        <w:rPr>
          <w:rFonts w:ascii="Verdana" w:hAnsi="Verdana"/>
          <w:noProof/>
          <w:sz w:val="20"/>
          <w:szCs w:val="20"/>
        </w:rPr>
        <w:t xml:space="preserve"> официальном</w:t>
      </w:r>
      <w:r w:rsidRPr="00EF40AA">
        <w:rPr>
          <w:rFonts w:ascii="Verdana" w:hAnsi="Verdana"/>
          <w:noProof/>
          <w:sz w:val="20"/>
          <w:szCs w:val="20"/>
        </w:rPr>
        <w:t xml:space="preserve"> сайте Банка в информационно-телекоммуникационной сети Интернет </w:t>
      </w:r>
      <w:hyperlink r:id="rId8" w:history="1">
        <w:r w:rsidRPr="00EF40AA">
          <w:rPr>
            <w:rStyle w:val="a7"/>
            <w:rFonts w:ascii="Verdana" w:hAnsi="Verdana"/>
            <w:noProof/>
            <w:sz w:val="20"/>
            <w:szCs w:val="20"/>
            <w:lang w:val="en-US"/>
          </w:rPr>
          <w:t>www</w:t>
        </w:r>
        <w:r w:rsidRPr="00EF40AA">
          <w:rPr>
            <w:rStyle w:val="a7"/>
            <w:rFonts w:ascii="Verdana" w:hAnsi="Verdana"/>
            <w:noProof/>
            <w:sz w:val="20"/>
            <w:szCs w:val="20"/>
          </w:rPr>
          <w:t>.</w:t>
        </w:r>
        <w:r w:rsidRPr="00EF40AA">
          <w:rPr>
            <w:rStyle w:val="a7"/>
            <w:rFonts w:ascii="Verdana" w:hAnsi="Verdana"/>
            <w:noProof/>
            <w:sz w:val="20"/>
            <w:szCs w:val="20"/>
            <w:lang w:val="en-US"/>
          </w:rPr>
          <w:t>bbr</w:t>
        </w:r>
        <w:r w:rsidRPr="00EF40AA">
          <w:rPr>
            <w:rStyle w:val="a7"/>
            <w:rFonts w:ascii="Verdana" w:hAnsi="Verdana"/>
            <w:noProof/>
            <w:sz w:val="20"/>
            <w:szCs w:val="20"/>
          </w:rPr>
          <w:t>.</w:t>
        </w:r>
        <w:r w:rsidRPr="00EF40AA">
          <w:rPr>
            <w:rStyle w:val="a7"/>
            <w:rFonts w:ascii="Verdana" w:hAnsi="Verdana"/>
            <w:noProof/>
            <w:sz w:val="20"/>
            <w:szCs w:val="20"/>
            <w:lang w:val="en-US"/>
          </w:rPr>
          <w:t>ru</w:t>
        </w:r>
      </w:hyperlink>
      <w:r w:rsidRPr="00EF40AA">
        <w:rPr>
          <w:rFonts w:ascii="Verdana" w:hAnsi="Verdana"/>
          <w:noProof/>
          <w:sz w:val="20"/>
          <w:szCs w:val="20"/>
        </w:rPr>
        <w:t>. Допускается информирование вкладчиков об Акции через средства массовой информации, рекламные буклеты Банка и иной рекламный раздаточный или видео материал Банка. О любых изменениях условий, сроков проведения Акции Банк информирует клиентов любыми способами, указанным в настоящем пункте, за один календарный день до даты таких изменений.</w:t>
      </w:r>
    </w:p>
    <w:sectPr w:rsidR="00A843B7" w:rsidSect="00D521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8" w:right="70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C5C1" w14:textId="77777777" w:rsidR="005B542C" w:rsidRDefault="005B542C">
      <w:r>
        <w:separator/>
      </w:r>
    </w:p>
  </w:endnote>
  <w:endnote w:type="continuationSeparator" w:id="0">
    <w:p w14:paraId="6E54ECDF" w14:textId="77777777" w:rsidR="005B542C" w:rsidRDefault="005B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224"/>
      <w:gridCol w:w="8841"/>
    </w:tblGrid>
    <w:tr w:rsidR="009315D2" w:rsidRPr="004F5476" w14:paraId="735B5F49" w14:textId="77777777" w:rsidTr="000F691E">
      <w:tc>
        <w:tcPr>
          <w:tcW w:w="608" w:type="pct"/>
          <w:vAlign w:val="center"/>
        </w:tcPr>
        <w:p w14:paraId="31110A72" w14:textId="77777777" w:rsidR="009315D2" w:rsidRPr="004F5476" w:rsidRDefault="00EA04BE" w:rsidP="000F691E">
          <w:pPr>
            <w:spacing w:line="276" w:lineRule="auto"/>
            <w:jc w:val="center"/>
            <w:outlineLvl w:val="0"/>
            <w:rPr>
              <w:rFonts w:ascii="Arial" w:eastAsia="Cambria" w:hAnsi="Arial" w:cs="Arial"/>
              <w:noProof/>
            </w:rPr>
          </w:pPr>
          <w:r>
            <w:rPr>
              <w:rFonts w:ascii="Arial" w:eastAsia="Cambria" w:hAnsi="Arial" w:cs="Arial"/>
              <w:noProof/>
            </w:rPr>
            <w:drawing>
              <wp:inline distT="0" distB="0" distL="0" distR="0" wp14:anchorId="0C9F8D51" wp14:editId="5FFD1D50">
                <wp:extent cx="477520" cy="487680"/>
                <wp:effectExtent l="0" t="0" r="0" b="0"/>
                <wp:docPr id="2" name="Рисунок 1" descr="Вклады застрахов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Вклады застрахова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75CA7BAC" w14:textId="77777777" w:rsidR="009315D2" w:rsidRPr="004F5476" w:rsidRDefault="00EA04BE" w:rsidP="000F691E">
          <w:pPr>
            <w:spacing w:line="276" w:lineRule="auto"/>
            <w:outlineLvl w:val="0"/>
            <w:rPr>
              <w:rFonts w:ascii="Arial" w:eastAsia="Cambria" w:hAnsi="Arial" w:cs="Arial"/>
              <w:noProof/>
            </w:rPr>
          </w:pPr>
          <w:r>
            <w:rPr>
              <w:rFonts w:ascii="Arial" w:eastAsia="Cambria" w:hAnsi="Arial" w:cs="Arial"/>
              <w:noProof/>
            </w:rPr>
            <w:t>ББР Банк (</w:t>
          </w:r>
          <w:r w:rsidRPr="004F5476">
            <w:rPr>
              <w:rFonts w:ascii="Arial" w:eastAsia="Cambria" w:hAnsi="Arial" w:cs="Arial"/>
              <w:noProof/>
            </w:rPr>
            <w:t>АО) входит в систему обязательного страхования вкладов</w:t>
          </w:r>
        </w:p>
        <w:p w14:paraId="73F76187" w14:textId="77777777" w:rsidR="009315D2" w:rsidRDefault="00EA04BE" w:rsidP="000F691E">
          <w:pPr>
            <w:spacing w:line="276" w:lineRule="auto"/>
            <w:outlineLvl w:val="0"/>
            <w:rPr>
              <w:rFonts w:ascii="Arial" w:eastAsia="Cambria" w:hAnsi="Arial" w:cs="Arial"/>
              <w:noProof/>
            </w:rPr>
          </w:pPr>
          <w:r w:rsidRPr="004F5476">
            <w:rPr>
              <w:rFonts w:ascii="Arial" w:eastAsia="Cambria" w:hAnsi="Arial" w:cs="Arial"/>
              <w:noProof/>
            </w:rPr>
            <w:t>Номер в реестре банков-участников № 795</w:t>
          </w:r>
          <w:r>
            <w:rPr>
              <w:rFonts w:ascii="Arial" w:eastAsia="Cambria" w:hAnsi="Arial" w:cs="Arial"/>
              <w:noProof/>
            </w:rPr>
            <w:t>.</w:t>
          </w:r>
        </w:p>
        <w:p w14:paraId="7465758C" w14:textId="77777777" w:rsidR="009315D2" w:rsidRPr="004F5476" w:rsidRDefault="00EA04BE" w:rsidP="000F691E">
          <w:pPr>
            <w:spacing w:line="276" w:lineRule="auto"/>
            <w:outlineLvl w:val="0"/>
            <w:rPr>
              <w:rFonts w:ascii="Arial" w:eastAsia="Cambria" w:hAnsi="Arial" w:cs="Arial"/>
              <w:noProof/>
            </w:rPr>
          </w:pPr>
          <w:r w:rsidRPr="004F5476">
            <w:rPr>
              <w:rFonts w:ascii="Arial" w:eastAsia="Cambria" w:hAnsi="Arial" w:cs="Arial"/>
              <w:noProof/>
            </w:rPr>
            <w:t>Дата внесения в реестр — 21.03.2005</w:t>
          </w:r>
        </w:p>
      </w:tc>
    </w:tr>
  </w:tbl>
  <w:p w14:paraId="13637539" w14:textId="77777777" w:rsidR="000B14C2" w:rsidRPr="009315D2" w:rsidRDefault="005B542C" w:rsidP="009315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5B51" w14:textId="77777777" w:rsidR="000B14C2" w:rsidRDefault="00EA04B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C1769" wp14:editId="0A2AD257">
              <wp:simplePos x="0" y="0"/>
              <wp:positionH relativeFrom="column">
                <wp:align>left</wp:align>
              </wp:positionH>
              <wp:positionV relativeFrom="paragraph">
                <wp:posOffset>-294640</wp:posOffset>
              </wp:positionV>
              <wp:extent cx="5715000" cy="914400"/>
              <wp:effectExtent l="0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0AD97" w14:textId="77777777" w:rsidR="000B14C2" w:rsidRDefault="005B542C" w:rsidP="00A500DC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14:paraId="5AE05A83" w14:textId="77777777" w:rsidR="000B14C2" w:rsidRPr="00D4446A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ББР Банк (закрытое акционерное общество)</w:t>
                          </w:r>
                        </w:p>
                        <w:p w14:paraId="6BFD3991" w14:textId="77777777" w:rsidR="000B14C2" w:rsidRPr="00D4446A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121099, Россия, Москва, 1-й Николощеповский пер., д. 6, стр. 1</w:t>
                          </w:r>
                        </w:p>
                        <w:p w14:paraId="6C9651AE" w14:textId="77777777" w:rsidR="000B14C2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Тел.: +7 (495) 363-91-62, факс: +7 (499) 241-09-74, www.bbr.ru</w:t>
                          </w:r>
                        </w:p>
                        <w:p w14:paraId="5DC87087" w14:textId="77777777" w:rsidR="000B14C2" w:rsidRPr="00D4446A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ИНН 3900001002, КПП 775001001, БИК 044583769, Кор. сч. 30101810500000000769</w:t>
                          </w:r>
                        </w:p>
                        <w:p w14:paraId="6D91CFAB" w14:textId="77777777" w:rsidR="000B14C2" w:rsidRPr="004D778B" w:rsidRDefault="005B542C" w:rsidP="00A500DC">
                          <w:pPr>
                            <w:ind w:left="-1440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0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C17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23.2pt;width:450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agsAIAAK8FAAAOAAAAZHJzL2Uyb0RvYy54bWysVNtunDAQfa/Uf7D8TjBb7wUUNkqWpaqU&#10;XqSkH+AFs1gFm9rehbTqv3ds9pZUlaq2PKCxPT5zOcdzfTO0DdpzbYSSKY6uCEZcFqoUcpviz495&#10;sMDIWCZL1ijJU/zEDb5Zvn513XcJn6haNSXXCECkSfouxbW1XRKGpqh5y8yV6riEw0rplllY6m1Y&#10;atYDetuEE0JmYa902WlVcGNgNxsP8dLjVxUv7MeqMtyiJsWQm/V/7f8b9w+X1yzZatbVojikwf4i&#10;i5YJCUFPUBmzDO20+AWqFYVWRlX2qlBtqKpKFNzXANVE5EU1DzXruK8FmmO6U5vM/4MtPuw/aSRK&#10;4A4jyVqg6JEPFt2pAc1dd/rOJOD00IGbHWDbebpKTXevii8GSbWqmdzyW61VX3NWQnaRuxleXB1x&#10;jAPZ9O9VCWHYzioPNFS6dYDQDATowNLTiRmXSgGb03k0JQSOCjiLI0rBdiFYcrzdaWPfctUiZ6RY&#10;A/Mene3vjR1djy4umFS5aBrYZ0kjn20A5rgDseGqO3NZeDK/xyReL9YLGtDJbB1QkmXBbb6iwSyP&#10;5tPsTbZaZdEPFzeiSS3KkksX5iisiP4ZcQeJj5I4ScuoRpQOzqVk9HazajTaMxB27r9DQy7cwudp&#10;+H5BLS9KiiaU3E3iIJ8t5gHN6TSI52QRkCi+i2eExjTLn5d0LyT/95JQD0xOJ9NRTL+tDVh3xI8M&#10;XtTGklZYGB2NaFO8ODmxxElwLUtPrWWiGe2LVrj0z60Auo9Ee8E6jY5qtcNmABSn4o0qn0C6WoGy&#10;QIQw78Colf6GUQ+zI8Xm645pjlHzTjr5E+IygnHjl2Doo7E5GkwWAJBii9Foruw4lnadFtsa8Mdn&#10;JtUtPJRKeA2fczk8L5gKvpTDBHNj53Ltvc5zdvkTAAD//wMAUEsDBBQABgAIAAAAIQCqXPzP3AAA&#10;AAcBAAAPAAAAZHJzL2Rvd25yZXYueG1sTI/BTsMwEETvSPyDtUjcWjsQAknjVKiCAxI90PABbuzG&#10;EfE6sp02/D3LCW47O6uZt/V2cSM7mxAHjxKytQBmsPN6wF7CZ/u6egIWk0KtRo9GwreJsG2ur2pV&#10;aX/BD3M+pJ5RCMZKSbApTRXnsbPGqbj2k0HyTj44lUiGnuugLhTuRn4nRMGdGpAarJrMzpru6zA7&#10;CbndewzlS3n/3s55Kx6y3RvPpLy9WZ43wJJZ0t8x/OITOjTEdPQz6shGCfRIkrDKixwY2aUQtDnS&#10;8FgAb2r+n7/5AQAA//8DAFBLAQItABQABgAIAAAAIQC2gziS/gAAAOEBAAATAAAAAAAAAAAAAAAA&#10;AAAAAABbQ29udGVudF9UeXBlc10ueG1sUEsBAi0AFAAGAAgAAAAhADj9If/WAAAAlAEAAAsAAAAA&#10;AAAAAAAAAAAALwEAAF9yZWxzLy5yZWxzUEsBAi0AFAAGAAgAAAAhAC2FJqCwAgAArwUAAA4AAAAA&#10;AAAAAAAAAAAALgIAAGRycy9lMm9Eb2MueG1sUEsBAi0AFAAGAAgAAAAhAKpc/M/cAAAABwEAAA8A&#10;AAAAAAAAAAAAAAAACgUAAGRycy9kb3ducmV2LnhtbFBLBQYAAAAABAAEAPMAAAATBgAAAAA=&#10;" filled="f" stroked="f">
              <v:textbox inset="28mm,0,0,0">
                <w:txbxContent>
                  <w:p w14:paraId="4010AD97" w14:textId="77777777" w:rsidR="000B14C2" w:rsidRDefault="00EF40AA" w:rsidP="00A500DC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14:paraId="5AE05A83" w14:textId="77777777" w:rsidR="000B14C2" w:rsidRPr="00D4446A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ББР Банк (закрытое акционерное общество)</w:t>
                    </w:r>
                  </w:p>
                  <w:p w14:paraId="6BFD3991" w14:textId="77777777" w:rsidR="000B14C2" w:rsidRPr="00D4446A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121099, Россия, Москва, 1-й Николощеповский пер., д. 6, стр. 1</w:t>
                    </w:r>
                  </w:p>
                  <w:p w14:paraId="6C9651AE" w14:textId="77777777" w:rsidR="000B14C2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Тел.: +7 (495) 363-91-62, факс: +7 (499) 241-09-74, www.bbr.ru</w:t>
                    </w:r>
                  </w:p>
                  <w:p w14:paraId="5DC87087" w14:textId="77777777" w:rsidR="000B14C2" w:rsidRPr="00D4446A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ИНН 3900001002, КПП 775001001, БИК 044583769, Кор. сч. 30101810500000000769</w:t>
                    </w:r>
                  </w:p>
                  <w:p w14:paraId="6D91CFAB" w14:textId="77777777" w:rsidR="000B14C2" w:rsidRPr="004D778B" w:rsidRDefault="00EF40AA" w:rsidP="00A500DC">
                    <w:pPr>
                      <w:ind w:left="-1440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7D41A1D" wp14:editId="0EFAA175">
          <wp:simplePos x="0" y="0"/>
          <wp:positionH relativeFrom="column">
            <wp:posOffset>-1143000</wp:posOffset>
          </wp:positionH>
          <wp:positionV relativeFrom="paragraph">
            <wp:posOffset>-751840</wp:posOffset>
          </wp:positionV>
          <wp:extent cx="7560945" cy="1439545"/>
          <wp:effectExtent l="0" t="0" r="0" b="0"/>
          <wp:wrapNone/>
          <wp:docPr id="4" name="Рисунок 4" descr="BBR_Bottom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BR_Bottom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5136" w14:textId="77777777" w:rsidR="005B542C" w:rsidRDefault="005B542C">
      <w:r>
        <w:separator/>
      </w:r>
    </w:p>
  </w:footnote>
  <w:footnote w:type="continuationSeparator" w:id="0">
    <w:p w14:paraId="7E6B642E" w14:textId="77777777" w:rsidR="005B542C" w:rsidRDefault="005B542C">
      <w:r>
        <w:continuationSeparator/>
      </w:r>
    </w:p>
  </w:footnote>
  <w:footnote w:id="1">
    <w:p w14:paraId="416BEF87" w14:textId="02182095" w:rsidR="008154F9" w:rsidRPr="00AD6039" w:rsidRDefault="008154F9" w:rsidP="008154F9">
      <w:pPr>
        <w:pStyle w:val="af1"/>
        <w:jc w:val="both"/>
        <w:rPr>
          <w:rFonts w:ascii="Verdana" w:hAnsi="Verdana"/>
          <w:i/>
          <w:sz w:val="16"/>
          <w:szCs w:val="16"/>
        </w:rPr>
      </w:pPr>
      <w:r w:rsidRPr="00AD6039">
        <w:rPr>
          <w:rStyle w:val="af3"/>
          <w:rFonts w:ascii="Verdana" w:hAnsi="Verdana"/>
          <w:i/>
          <w:sz w:val="16"/>
          <w:szCs w:val="16"/>
        </w:rPr>
        <w:footnoteRef/>
      </w:r>
      <w:r w:rsidRPr="00AD6039">
        <w:rPr>
          <w:rFonts w:ascii="Verdana" w:hAnsi="Verdana"/>
          <w:i/>
          <w:sz w:val="16"/>
          <w:szCs w:val="16"/>
        </w:rPr>
        <w:t xml:space="preserve"> Со значением используемых терминов и подробной информацией по применению Бонусов по вкладам можно ознакомиться в Части 1. «Премиальный процент» (для</w:t>
      </w:r>
      <w:r w:rsidRPr="00F47965">
        <w:rPr>
          <w:rFonts w:ascii="Verdana" w:hAnsi="Verdana"/>
          <w:i/>
          <w:sz w:val="18"/>
          <w:szCs w:val="18"/>
        </w:rPr>
        <w:t xml:space="preserve"> </w:t>
      </w:r>
      <w:r w:rsidRPr="00AD6039">
        <w:rPr>
          <w:rFonts w:ascii="Verdana" w:hAnsi="Verdana"/>
          <w:i/>
          <w:sz w:val="16"/>
          <w:szCs w:val="16"/>
        </w:rPr>
        <w:t xml:space="preserve">физических лиц - вкладчиков Банка) Программы лояльности и привилегий ББР Банк (АО) в местах проведения Акции и на сайте Банка </w:t>
      </w:r>
      <w:r w:rsidRPr="00AD6039">
        <w:rPr>
          <w:rFonts w:ascii="Verdana" w:hAnsi="Verdana"/>
          <w:i/>
          <w:noProof/>
          <w:sz w:val="16"/>
          <w:szCs w:val="16"/>
        </w:rPr>
        <w:t xml:space="preserve">в информационно-телекоммуникационной сети Интернет </w:t>
      </w:r>
      <w:hyperlink r:id="rId1" w:history="1">
        <w:r w:rsidRPr="00AD6039">
          <w:rPr>
            <w:rStyle w:val="a7"/>
            <w:rFonts w:ascii="Verdana" w:hAnsi="Verdana"/>
            <w:i/>
            <w:noProof/>
            <w:sz w:val="16"/>
            <w:szCs w:val="16"/>
            <w:lang w:val="en-US"/>
          </w:rPr>
          <w:t>www</w:t>
        </w:r>
        <w:r w:rsidRPr="00AD6039">
          <w:rPr>
            <w:rStyle w:val="a7"/>
            <w:rFonts w:ascii="Verdana" w:hAnsi="Verdana"/>
            <w:i/>
            <w:noProof/>
            <w:sz w:val="16"/>
            <w:szCs w:val="16"/>
          </w:rPr>
          <w:t>.</w:t>
        </w:r>
        <w:r w:rsidRPr="00AD6039">
          <w:rPr>
            <w:rStyle w:val="a7"/>
            <w:rFonts w:ascii="Verdana" w:hAnsi="Verdana"/>
            <w:i/>
            <w:noProof/>
            <w:sz w:val="16"/>
            <w:szCs w:val="16"/>
            <w:lang w:val="en-US"/>
          </w:rPr>
          <w:t>bbr</w:t>
        </w:r>
        <w:r w:rsidRPr="00AD6039">
          <w:rPr>
            <w:rStyle w:val="a7"/>
            <w:rFonts w:ascii="Verdana" w:hAnsi="Verdana"/>
            <w:i/>
            <w:noProof/>
            <w:sz w:val="16"/>
            <w:szCs w:val="16"/>
          </w:rPr>
          <w:t>.</w:t>
        </w:r>
        <w:r w:rsidRPr="00AD6039">
          <w:rPr>
            <w:rStyle w:val="a7"/>
            <w:rFonts w:ascii="Verdana" w:hAnsi="Verdana"/>
            <w:i/>
            <w:noProof/>
            <w:sz w:val="16"/>
            <w:szCs w:val="16"/>
            <w:lang w:val="en-US"/>
          </w:rPr>
          <w:t>ru</w:t>
        </w:r>
      </w:hyperlink>
      <w:r w:rsidRPr="00AD6039">
        <w:rPr>
          <w:rFonts w:ascii="Verdana" w:hAnsi="Verdana"/>
          <w:i/>
          <w:noProof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1"/>
      <w:tblW w:w="0" w:type="auto"/>
      <w:tblLook w:val="04A0" w:firstRow="1" w:lastRow="0" w:firstColumn="1" w:lastColumn="0" w:noHBand="0" w:noVBand="1"/>
    </w:tblPr>
    <w:tblGrid>
      <w:gridCol w:w="4022"/>
      <w:gridCol w:w="6043"/>
    </w:tblGrid>
    <w:tr w:rsidR="00713B75" w:rsidRPr="009739DD" w14:paraId="28AF09A6" w14:textId="77777777" w:rsidTr="002C3692">
      <w:tc>
        <w:tcPr>
          <w:tcW w:w="4077" w:type="dxa"/>
          <w:shd w:val="clear" w:color="auto" w:fill="auto"/>
        </w:tcPr>
        <w:p w14:paraId="4B923462" w14:textId="77777777" w:rsidR="00713B75" w:rsidRPr="000F691E" w:rsidRDefault="00713B75" w:rsidP="00713B75">
          <w:pPr>
            <w:pStyle w:val="a3"/>
            <w:rPr>
              <w:rFonts w:ascii="Arial" w:eastAsia="Cambria" w:hAnsi="Arial"/>
            </w:rPr>
          </w:pPr>
          <w:r>
            <w:rPr>
              <w:rFonts w:ascii="Arial" w:eastAsia="Cambria" w:hAnsi="Arial"/>
              <w:noProof/>
            </w:rPr>
            <w:drawing>
              <wp:inline distT="0" distB="0" distL="0" distR="0" wp14:anchorId="779D0532" wp14:editId="5DDD44A6">
                <wp:extent cx="1524000" cy="599440"/>
                <wp:effectExtent l="0" t="0" r="0" b="0"/>
                <wp:docPr id="5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shd w:val="clear" w:color="auto" w:fill="auto"/>
          <w:vAlign w:val="center"/>
        </w:tcPr>
        <w:p w14:paraId="42F06E7D" w14:textId="5B19F4C8" w:rsidR="00713B75" w:rsidRPr="00E73E44" w:rsidRDefault="00D8032C" w:rsidP="00713B75">
          <w:pPr>
            <w:spacing w:line="276" w:lineRule="auto"/>
            <w:ind w:left="682"/>
            <w:rPr>
              <w:rFonts w:ascii="Verdana" w:eastAsia="Cambria" w:hAnsi="Verdana" w:cs="Arial"/>
              <w:i/>
              <w:noProof/>
              <w:sz w:val="16"/>
              <w:szCs w:val="16"/>
            </w:rPr>
          </w:pPr>
          <w:r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Приложение </w:t>
          </w:r>
          <w:r w:rsidR="0013148B">
            <w:rPr>
              <w:rFonts w:ascii="Verdana" w:eastAsia="Cambria" w:hAnsi="Verdana" w:cs="Arial"/>
              <w:i/>
              <w:noProof/>
              <w:sz w:val="16"/>
              <w:szCs w:val="16"/>
            </w:rPr>
            <w:t>8</w:t>
          </w:r>
          <w:r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к Приказу от </w:t>
          </w:r>
          <w:r w:rsidR="00944742">
            <w:rPr>
              <w:rFonts w:ascii="Verdana" w:eastAsia="Cambria" w:hAnsi="Verdana" w:cs="Arial"/>
              <w:i/>
              <w:noProof/>
              <w:sz w:val="16"/>
              <w:szCs w:val="16"/>
            </w:rPr>
            <w:t>31</w:t>
          </w:r>
          <w:r w:rsidR="0013148B">
            <w:rPr>
              <w:rFonts w:ascii="Verdana" w:eastAsia="Cambria" w:hAnsi="Verdana" w:cs="Arial"/>
              <w:i/>
              <w:noProof/>
              <w:sz w:val="16"/>
              <w:szCs w:val="16"/>
            </w:rPr>
            <w:t>.05</w:t>
          </w:r>
          <w:r w:rsidR="00713B75"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.2022 №</w:t>
          </w:r>
          <w:r w:rsidR="0013148B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</w:t>
          </w:r>
          <w:r w:rsidR="00944742">
            <w:rPr>
              <w:rFonts w:ascii="Verdana" w:eastAsia="Cambria" w:hAnsi="Verdana" w:cs="Arial"/>
              <w:i/>
              <w:noProof/>
              <w:sz w:val="16"/>
              <w:szCs w:val="16"/>
            </w:rPr>
            <w:t>565</w:t>
          </w:r>
        </w:p>
        <w:p w14:paraId="1CCB97EA" w14:textId="0E504289" w:rsidR="00713B75" w:rsidRPr="00E73E44" w:rsidRDefault="00713B75" w:rsidP="00713B75">
          <w:pPr>
            <w:spacing w:line="276" w:lineRule="auto"/>
            <w:ind w:left="682"/>
            <w:rPr>
              <w:rFonts w:ascii="Verdana" w:eastAsia="Cambria" w:hAnsi="Verdana" w:cs="Arial"/>
              <w:i/>
              <w:noProof/>
              <w:sz w:val="16"/>
              <w:szCs w:val="16"/>
            </w:rPr>
          </w:pP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Утвержде</w:t>
          </w:r>
          <w:r w:rsidR="00F46E77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ны Протоколом Правления от </w:t>
          </w:r>
          <w:r w:rsidR="00944742">
            <w:rPr>
              <w:rFonts w:ascii="Verdana" w:eastAsia="Cambria" w:hAnsi="Verdana" w:cs="Arial"/>
              <w:i/>
              <w:noProof/>
              <w:sz w:val="16"/>
              <w:szCs w:val="16"/>
            </w:rPr>
            <w:t>31</w:t>
          </w:r>
          <w:r w:rsidR="0013148B">
            <w:rPr>
              <w:rFonts w:ascii="Verdana" w:eastAsia="Cambria" w:hAnsi="Verdana" w:cs="Arial"/>
              <w:i/>
              <w:noProof/>
              <w:sz w:val="16"/>
              <w:szCs w:val="16"/>
            </w:rPr>
            <w:t>.05</w:t>
          </w:r>
          <w:r w:rsidR="00F46E77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.2022 № </w:t>
          </w:r>
          <w:r w:rsidR="00944742">
            <w:rPr>
              <w:rFonts w:ascii="Verdana" w:eastAsia="Cambria" w:hAnsi="Verdana" w:cs="Arial"/>
              <w:i/>
              <w:noProof/>
              <w:sz w:val="16"/>
              <w:szCs w:val="16"/>
            </w:rPr>
            <w:t>41</w:t>
          </w:r>
        </w:p>
        <w:p w14:paraId="498FB211" w14:textId="3C61AE1F" w:rsidR="00713B75" w:rsidRPr="009739DD" w:rsidRDefault="00713B75" w:rsidP="0013148B">
          <w:pPr>
            <w:spacing w:line="276" w:lineRule="auto"/>
            <w:ind w:left="682"/>
            <w:outlineLvl w:val="0"/>
            <w:rPr>
              <w:rFonts w:ascii="Arial" w:eastAsia="Cambria" w:hAnsi="Arial" w:cs="Arial"/>
              <w:i/>
              <w:noProof/>
            </w:rPr>
          </w:pP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Введены в действие с </w:t>
          </w:r>
          <w:r w:rsidR="0013148B">
            <w:rPr>
              <w:rFonts w:ascii="Verdana" w:eastAsia="Cambria" w:hAnsi="Verdana" w:cs="Arial"/>
              <w:i/>
              <w:noProof/>
              <w:sz w:val="16"/>
              <w:szCs w:val="16"/>
            </w:rPr>
            <w:t>01</w:t>
          </w: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.0</w:t>
          </w:r>
          <w:r w:rsidR="0013148B">
            <w:rPr>
              <w:rFonts w:ascii="Verdana" w:eastAsia="Cambria" w:hAnsi="Verdana" w:cs="Arial"/>
              <w:i/>
              <w:noProof/>
              <w:sz w:val="16"/>
              <w:szCs w:val="16"/>
            </w:rPr>
            <w:t>6</w:t>
          </w: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.2022</w:t>
          </w:r>
        </w:p>
      </w:tc>
    </w:tr>
  </w:tbl>
  <w:p w14:paraId="5E11E61E" w14:textId="77777777" w:rsidR="00713B75" w:rsidRDefault="00713B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23D1" w14:textId="77777777" w:rsidR="000B14C2" w:rsidRDefault="00EA04B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A6B72" wp14:editId="03D89EAD">
          <wp:simplePos x="0" y="0"/>
          <wp:positionH relativeFrom="column">
            <wp:posOffset>-71755</wp:posOffset>
          </wp:positionH>
          <wp:positionV relativeFrom="paragraph">
            <wp:posOffset>155575</wp:posOffset>
          </wp:positionV>
          <wp:extent cx="1796415" cy="698500"/>
          <wp:effectExtent l="0" t="0" r="0" b="0"/>
          <wp:wrapNone/>
          <wp:docPr id="3" name="Рисунок 3" descr="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EB5"/>
    <w:multiLevelType w:val="hybridMultilevel"/>
    <w:tmpl w:val="F030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18"/>
    <w:multiLevelType w:val="hybridMultilevel"/>
    <w:tmpl w:val="B4DE4670"/>
    <w:lvl w:ilvl="0" w:tplc="24C87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82A28"/>
    <w:multiLevelType w:val="hybridMultilevel"/>
    <w:tmpl w:val="4FC6EA02"/>
    <w:lvl w:ilvl="0" w:tplc="100C17EE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F6C4EF6"/>
    <w:multiLevelType w:val="hybridMultilevel"/>
    <w:tmpl w:val="046E3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DC76DC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52280545"/>
    <w:multiLevelType w:val="hybridMultilevel"/>
    <w:tmpl w:val="DB6C45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30B04"/>
    <w:multiLevelType w:val="hybridMultilevel"/>
    <w:tmpl w:val="9DD473D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BF172A1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 w15:restartNumberingAfterBreak="0">
    <w:nsid w:val="5C834D9A"/>
    <w:multiLevelType w:val="hybridMultilevel"/>
    <w:tmpl w:val="86D4F6B6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5C946F1D"/>
    <w:multiLevelType w:val="hybridMultilevel"/>
    <w:tmpl w:val="4E52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66D34"/>
    <w:multiLevelType w:val="hybridMultilevel"/>
    <w:tmpl w:val="460472E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74CF77AE"/>
    <w:multiLevelType w:val="hybridMultilevel"/>
    <w:tmpl w:val="F6A6F12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777C26CB"/>
    <w:multiLevelType w:val="hybridMultilevel"/>
    <w:tmpl w:val="7F484DA8"/>
    <w:lvl w:ilvl="0" w:tplc="E6FCEB90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8094684"/>
    <w:multiLevelType w:val="hybridMultilevel"/>
    <w:tmpl w:val="439E53BE"/>
    <w:lvl w:ilvl="0" w:tplc="4C98CC96">
      <w:start w:val="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C7C0D"/>
    <w:multiLevelType w:val="hybridMultilevel"/>
    <w:tmpl w:val="DE3C297C"/>
    <w:lvl w:ilvl="0" w:tplc="A4D059C8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A"/>
    <w:rsid w:val="00004D1E"/>
    <w:rsid w:val="000101AC"/>
    <w:rsid w:val="000143A1"/>
    <w:rsid w:val="000164E2"/>
    <w:rsid w:val="00016707"/>
    <w:rsid w:val="0002083C"/>
    <w:rsid w:val="000323B2"/>
    <w:rsid w:val="00032956"/>
    <w:rsid w:val="00033D8A"/>
    <w:rsid w:val="00042159"/>
    <w:rsid w:val="00043077"/>
    <w:rsid w:val="00045C24"/>
    <w:rsid w:val="000477FE"/>
    <w:rsid w:val="00060D63"/>
    <w:rsid w:val="00064945"/>
    <w:rsid w:val="00065017"/>
    <w:rsid w:val="0007421F"/>
    <w:rsid w:val="00074539"/>
    <w:rsid w:val="00074AA6"/>
    <w:rsid w:val="00076313"/>
    <w:rsid w:val="000764B3"/>
    <w:rsid w:val="000A68C3"/>
    <w:rsid w:val="000B156A"/>
    <w:rsid w:val="000B3C6F"/>
    <w:rsid w:val="000B6872"/>
    <w:rsid w:val="000B7FA1"/>
    <w:rsid w:val="000C353B"/>
    <w:rsid w:val="000C4AF3"/>
    <w:rsid w:val="000C7FCF"/>
    <w:rsid w:val="000D193C"/>
    <w:rsid w:val="000E41BB"/>
    <w:rsid w:val="000E6EA8"/>
    <w:rsid w:val="000F496C"/>
    <w:rsid w:val="000F5E18"/>
    <w:rsid w:val="00100A5A"/>
    <w:rsid w:val="001100C2"/>
    <w:rsid w:val="001132AB"/>
    <w:rsid w:val="00116244"/>
    <w:rsid w:val="00117199"/>
    <w:rsid w:val="00120D66"/>
    <w:rsid w:val="00121725"/>
    <w:rsid w:val="00121D47"/>
    <w:rsid w:val="001244C4"/>
    <w:rsid w:val="0012568B"/>
    <w:rsid w:val="0013148B"/>
    <w:rsid w:val="001322A0"/>
    <w:rsid w:val="00134F13"/>
    <w:rsid w:val="00137F1C"/>
    <w:rsid w:val="00143D4E"/>
    <w:rsid w:val="00155345"/>
    <w:rsid w:val="00171F5C"/>
    <w:rsid w:val="00185BEE"/>
    <w:rsid w:val="001906E7"/>
    <w:rsid w:val="0019517B"/>
    <w:rsid w:val="001A2C10"/>
    <w:rsid w:val="001A6341"/>
    <w:rsid w:val="001A6574"/>
    <w:rsid w:val="001A6EB6"/>
    <w:rsid w:val="001B367B"/>
    <w:rsid w:val="001B5DFA"/>
    <w:rsid w:val="001C7CBF"/>
    <w:rsid w:val="001D496B"/>
    <w:rsid w:val="001D4A44"/>
    <w:rsid w:val="001E3180"/>
    <w:rsid w:val="001E5DFF"/>
    <w:rsid w:val="001F216D"/>
    <w:rsid w:val="001F7CF5"/>
    <w:rsid w:val="00202578"/>
    <w:rsid w:val="002074D4"/>
    <w:rsid w:val="00211065"/>
    <w:rsid w:val="002200AD"/>
    <w:rsid w:val="0022089E"/>
    <w:rsid w:val="0022128F"/>
    <w:rsid w:val="00221FE3"/>
    <w:rsid w:val="0022266C"/>
    <w:rsid w:val="002242A4"/>
    <w:rsid w:val="0024021E"/>
    <w:rsid w:val="00242BE8"/>
    <w:rsid w:val="002461B4"/>
    <w:rsid w:val="00247572"/>
    <w:rsid w:val="00253149"/>
    <w:rsid w:val="002536AA"/>
    <w:rsid w:val="00270190"/>
    <w:rsid w:val="00271D35"/>
    <w:rsid w:val="002734AE"/>
    <w:rsid w:val="00274B0F"/>
    <w:rsid w:val="00277FD0"/>
    <w:rsid w:val="00282C3C"/>
    <w:rsid w:val="0028351C"/>
    <w:rsid w:val="00287DE5"/>
    <w:rsid w:val="002A1C46"/>
    <w:rsid w:val="002B176F"/>
    <w:rsid w:val="002B2323"/>
    <w:rsid w:val="002D69ED"/>
    <w:rsid w:val="002E00C7"/>
    <w:rsid w:val="002E1160"/>
    <w:rsid w:val="002E25E8"/>
    <w:rsid w:val="002E308C"/>
    <w:rsid w:val="002E32A3"/>
    <w:rsid w:val="002F64FE"/>
    <w:rsid w:val="00303916"/>
    <w:rsid w:val="00307333"/>
    <w:rsid w:val="00315CB0"/>
    <w:rsid w:val="0032242F"/>
    <w:rsid w:val="00323B37"/>
    <w:rsid w:val="00326246"/>
    <w:rsid w:val="00331486"/>
    <w:rsid w:val="003370C8"/>
    <w:rsid w:val="00340DEC"/>
    <w:rsid w:val="00352ED3"/>
    <w:rsid w:val="0035793E"/>
    <w:rsid w:val="003740C3"/>
    <w:rsid w:val="003856FB"/>
    <w:rsid w:val="00391D11"/>
    <w:rsid w:val="00396AF2"/>
    <w:rsid w:val="003A00FD"/>
    <w:rsid w:val="003A217E"/>
    <w:rsid w:val="003A5C1E"/>
    <w:rsid w:val="003C1E1C"/>
    <w:rsid w:val="003E6342"/>
    <w:rsid w:val="003F1DBA"/>
    <w:rsid w:val="003F2DFC"/>
    <w:rsid w:val="0040266F"/>
    <w:rsid w:val="00411CFD"/>
    <w:rsid w:val="00413B85"/>
    <w:rsid w:val="00420C68"/>
    <w:rsid w:val="00425B31"/>
    <w:rsid w:val="00434A9D"/>
    <w:rsid w:val="00440AD3"/>
    <w:rsid w:val="004466C4"/>
    <w:rsid w:val="00460006"/>
    <w:rsid w:val="00460C72"/>
    <w:rsid w:val="00462C97"/>
    <w:rsid w:val="0046779F"/>
    <w:rsid w:val="00470197"/>
    <w:rsid w:val="00470867"/>
    <w:rsid w:val="004777BA"/>
    <w:rsid w:val="00485CC9"/>
    <w:rsid w:val="004901F4"/>
    <w:rsid w:val="004A0314"/>
    <w:rsid w:val="004A4409"/>
    <w:rsid w:val="004A4709"/>
    <w:rsid w:val="004A66A5"/>
    <w:rsid w:val="004B77E9"/>
    <w:rsid w:val="004C2CFD"/>
    <w:rsid w:val="004D66AE"/>
    <w:rsid w:val="004E1587"/>
    <w:rsid w:val="004E1ECB"/>
    <w:rsid w:val="004E32C9"/>
    <w:rsid w:val="004E5C04"/>
    <w:rsid w:val="004F60EE"/>
    <w:rsid w:val="00521147"/>
    <w:rsid w:val="005242C9"/>
    <w:rsid w:val="00535E5D"/>
    <w:rsid w:val="0054412C"/>
    <w:rsid w:val="005527B9"/>
    <w:rsid w:val="005579A1"/>
    <w:rsid w:val="00564756"/>
    <w:rsid w:val="005668A5"/>
    <w:rsid w:val="005774D5"/>
    <w:rsid w:val="005874F9"/>
    <w:rsid w:val="005A45A8"/>
    <w:rsid w:val="005B542C"/>
    <w:rsid w:val="005C2A98"/>
    <w:rsid w:val="005D24AE"/>
    <w:rsid w:val="005E76D6"/>
    <w:rsid w:val="005F08A1"/>
    <w:rsid w:val="00602AE3"/>
    <w:rsid w:val="006058C9"/>
    <w:rsid w:val="00636B66"/>
    <w:rsid w:val="006445CA"/>
    <w:rsid w:val="00655D70"/>
    <w:rsid w:val="00664296"/>
    <w:rsid w:val="00664F96"/>
    <w:rsid w:val="006809FE"/>
    <w:rsid w:val="00681E35"/>
    <w:rsid w:val="00683420"/>
    <w:rsid w:val="00687F20"/>
    <w:rsid w:val="00696BFB"/>
    <w:rsid w:val="006A6E87"/>
    <w:rsid w:val="006B0FDA"/>
    <w:rsid w:val="006D182C"/>
    <w:rsid w:val="006D1D2A"/>
    <w:rsid w:val="006D22F8"/>
    <w:rsid w:val="006D2424"/>
    <w:rsid w:val="006D51F6"/>
    <w:rsid w:val="006D744D"/>
    <w:rsid w:val="006E061E"/>
    <w:rsid w:val="006F579D"/>
    <w:rsid w:val="00710DC8"/>
    <w:rsid w:val="0071376F"/>
    <w:rsid w:val="00713B75"/>
    <w:rsid w:val="00722478"/>
    <w:rsid w:val="007238C4"/>
    <w:rsid w:val="00745EED"/>
    <w:rsid w:val="00746D40"/>
    <w:rsid w:val="0075072D"/>
    <w:rsid w:val="0075204B"/>
    <w:rsid w:val="007541AB"/>
    <w:rsid w:val="007606B9"/>
    <w:rsid w:val="007627B5"/>
    <w:rsid w:val="00763651"/>
    <w:rsid w:val="00767042"/>
    <w:rsid w:val="00782110"/>
    <w:rsid w:val="0078546F"/>
    <w:rsid w:val="00791D62"/>
    <w:rsid w:val="007A0D82"/>
    <w:rsid w:val="007A4205"/>
    <w:rsid w:val="007B15EC"/>
    <w:rsid w:val="007B485D"/>
    <w:rsid w:val="007D0C89"/>
    <w:rsid w:val="007E58EE"/>
    <w:rsid w:val="00811F79"/>
    <w:rsid w:val="00812FDA"/>
    <w:rsid w:val="008154F9"/>
    <w:rsid w:val="00817C81"/>
    <w:rsid w:val="00824B6B"/>
    <w:rsid w:val="008447B7"/>
    <w:rsid w:val="008567FB"/>
    <w:rsid w:val="0085702C"/>
    <w:rsid w:val="00881AF4"/>
    <w:rsid w:val="00883749"/>
    <w:rsid w:val="00892E44"/>
    <w:rsid w:val="008A03A6"/>
    <w:rsid w:val="008A1AB5"/>
    <w:rsid w:val="008B33A3"/>
    <w:rsid w:val="008B59E1"/>
    <w:rsid w:val="008D34BD"/>
    <w:rsid w:val="008E4D9A"/>
    <w:rsid w:val="008E5004"/>
    <w:rsid w:val="008F21FB"/>
    <w:rsid w:val="008F7971"/>
    <w:rsid w:val="00902289"/>
    <w:rsid w:val="0090546E"/>
    <w:rsid w:val="00920C32"/>
    <w:rsid w:val="009241BC"/>
    <w:rsid w:val="00931FDF"/>
    <w:rsid w:val="009324D8"/>
    <w:rsid w:val="00933629"/>
    <w:rsid w:val="00943E48"/>
    <w:rsid w:val="00944742"/>
    <w:rsid w:val="00945C38"/>
    <w:rsid w:val="009474C7"/>
    <w:rsid w:val="00953D3F"/>
    <w:rsid w:val="009656A5"/>
    <w:rsid w:val="00965C2A"/>
    <w:rsid w:val="00970FBB"/>
    <w:rsid w:val="00982534"/>
    <w:rsid w:val="00984C50"/>
    <w:rsid w:val="00986DA3"/>
    <w:rsid w:val="00987A73"/>
    <w:rsid w:val="0099195A"/>
    <w:rsid w:val="009940EF"/>
    <w:rsid w:val="009A500C"/>
    <w:rsid w:val="009C78B3"/>
    <w:rsid w:val="009D2E75"/>
    <w:rsid w:val="009D423D"/>
    <w:rsid w:val="009E712D"/>
    <w:rsid w:val="009F4166"/>
    <w:rsid w:val="009F4561"/>
    <w:rsid w:val="00A06BEA"/>
    <w:rsid w:val="00A206C4"/>
    <w:rsid w:val="00A219BB"/>
    <w:rsid w:val="00A23B87"/>
    <w:rsid w:val="00A3517A"/>
    <w:rsid w:val="00A45561"/>
    <w:rsid w:val="00A50933"/>
    <w:rsid w:val="00A50C30"/>
    <w:rsid w:val="00A53116"/>
    <w:rsid w:val="00A7110C"/>
    <w:rsid w:val="00A7311B"/>
    <w:rsid w:val="00A74FD0"/>
    <w:rsid w:val="00A843B7"/>
    <w:rsid w:val="00A97883"/>
    <w:rsid w:val="00AA02BA"/>
    <w:rsid w:val="00AA17A8"/>
    <w:rsid w:val="00AA36FD"/>
    <w:rsid w:val="00AA3928"/>
    <w:rsid w:val="00AC22FD"/>
    <w:rsid w:val="00AC2CFD"/>
    <w:rsid w:val="00AC5B00"/>
    <w:rsid w:val="00AC5CEF"/>
    <w:rsid w:val="00AE772B"/>
    <w:rsid w:val="00AF0190"/>
    <w:rsid w:val="00AF0F7D"/>
    <w:rsid w:val="00AF578F"/>
    <w:rsid w:val="00B06A81"/>
    <w:rsid w:val="00B132B4"/>
    <w:rsid w:val="00B21229"/>
    <w:rsid w:val="00B22828"/>
    <w:rsid w:val="00B27CDA"/>
    <w:rsid w:val="00B32966"/>
    <w:rsid w:val="00B3298B"/>
    <w:rsid w:val="00B41B82"/>
    <w:rsid w:val="00B46D95"/>
    <w:rsid w:val="00B67BE0"/>
    <w:rsid w:val="00B76386"/>
    <w:rsid w:val="00B828CC"/>
    <w:rsid w:val="00B84285"/>
    <w:rsid w:val="00B84988"/>
    <w:rsid w:val="00B94630"/>
    <w:rsid w:val="00BA07DE"/>
    <w:rsid w:val="00BA5615"/>
    <w:rsid w:val="00BA68B4"/>
    <w:rsid w:val="00BA7A23"/>
    <w:rsid w:val="00BB1A20"/>
    <w:rsid w:val="00BB64ED"/>
    <w:rsid w:val="00BC6545"/>
    <w:rsid w:val="00BD00B4"/>
    <w:rsid w:val="00BD3504"/>
    <w:rsid w:val="00BD52B5"/>
    <w:rsid w:val="00BE2820"/>
    <w:rsid w:val="00BF0F84"/>
    <w:rsid w:val="00C06BA9"/>
    <w:rsid w:val="00C31252"/>
    <w:rsid w:val="00C535C0"/>
    <w:rsid w:val="00C53F46"/>
    <w:rsid w:val="00C61C1B"/>
    <w:rsid w:val="00C62EFC"/>
    <w:rsid w:val="00C7445B"/>
    <w:rsid w:val="00C80137"/>
    <w:rsid w:val="00C8333E"/>
    <w:rsid w:val="00C837DE"/>
    <w:rsid w:val="00C953EE"/>
    <w:rsid w:val="00CA3DA1"/>
    <w:rsid w:val="00CA71C5"/>
    <w:rsid w:val="00CB1BD3"/>
    <w:rsid w:val="00CB649B"/>
    <w:rsid w:val="00CC3C93"/>
    <w:rsid w:val="00CD1873"/>
    <w:rsid w:val="00CD25B4"/>
    <w:rsid w:val="00CE10E4"/>
    <w:rsid w:val="00CE272B"/>
    <w:rsid w:val="00CF19C8"/>
    <w:rsid w:val="00D06583"/>
    <w:rsid w:val="00D1061C"/>
    <w:rsid w:val="00D17854"/>
    <w:rsid w:val="00D2004C"/>
    <w:rsid w:val="00D20FC8"/>
    <w:rsid w:val="00D231CE"/>
    <w:rsid w:val="00D25D5C"/>
    <w:rsid w:val="00D273F5"/>
    <w:rsid w:val="00D35E92"/>
    <w:rsid w:val="00D36BA8"/>
    <w:rsid w:val="00D45A96"/>
    <w:rsid w:val="00D46B6A"/>
    <w:rsid w:val="00D46D56"/>
    <w:rsid w:val="00D50332"/>
    <w:rsid w:val="00D8032C"/>
    <w:rsid w:val="00D843F8"/>
    <w:rsid w:val="00D922AB"/>
    <w:rsid w:val="00DA69DD"/>
    <w:rsid w:val="00DC1CDD"/>
    <w:rsid w:val="00DC3B2E"/>
    <w:rsid w:val="00DC5925"/>
    <w:rsid w:val="00DC6B64"/>
    <w:rsid w:val="00DD09D6"/>
    <w:rsid w:val="00DD1561"/>
    <w:rsid w:val="00DE06CA"/>
    <w:rsid w:val="00DE3D03"/>
    <w:rsid w:val="00DE6A4C"/>
    <w:rsid w:val="00DF2F4A"/>
    <w:rsid w:val="00E01F2A"/>
    <w:rsid w:val="00E04971"/>
    <w:rsid w:val="00E06E95"/>
    <w:rsid w:val="00E121A9"/>
    <w:rsid w:val="00E14631"/>
    <w:rsid w:val="00E21236"/>
    <w:rsid w:val="00E22B2D"/>
    <w:rsid w:val="00E310E7"/>
    <w:rsid w:val="00E32306"/>
    <w:rsid w:val="00E33CF7"/>
    <w:rsid w:val="00E43979"/>
    <w:rsid w:val="00E50471"/>
    <w:rsid w:val="00E54E21"/>
    <w:rsid w:val="00E57467"/>
    <w:rsid w:val="00E62B56"/>
    <w:rsid w:val="00E73E44"/>
    <w:rsid w:val="00E90D4A"/>
    <w:rsid w:val="00E9314A"/>
    <w:rsid w:val="00EA04BE"/>
    <w:rsid w:val="00EA1D3F"/>
    <w:rsid w:val="00EA4405"/>
    <w:rsid w:val="00EA76DD"/>
    <w:rsid w:val="00EB07C9"/>
    <w:rsid w:val="00EB1E1E"/>
    <w:rsid w:val="00EB3A8F"/>
    <w:rsid w:val="00EB488E"/>
    <w:rsid w:val="00EC08FB"/>
    <w:rsid w:val="00EC188D"/>
    <w:rsid w:val="00EC1A9F"/>
    <w:rsid w:val="00EC2615"/>
    <w:rsid w:val="00ED06CF"/>
    <w:rsid w:val="00ED5022"/>
    <w:rsid w:val="00ED6117"/>
    <w:rsid w:val="00EE49D0"/>
    <w:rsid w:val="00EE6053"/>
    <w:rsid w:val="00EF10DA"/>
    <w:rsid w:val="00EF38FA"/>
    <w:rsid w:val="00EF40AA"/>
    <w:rsid w:val="00EF52C8"/>
    <w:rsid w:val="00F15D13"/>
    <w:rsid w:val="00F3299D"/>
    <w:rsid w:val="00F342D1"/>
    <w:rsid w:val="00F35CF8"/>
    <w:rsid w:val="00F46E77"/>
    <w:rsid w:val="00F5417C"/>
    <w:rsid w:val="00F57B2A"/>
    <w:rsid w:val="00F60652"/>
    <w:rsid w:val="00F64E2F"/>
    <w:rsid w:val="00F670ED"/>
    <w:rsid w:val="00F70AF1"/>
    <w:rsid w:val="00F83579"/>
    <w:rsid w:val="00F84121"/>
    <w:rsid w:val="00FB625B"/>
    <w:rsid w:val="00FC2357"/>
    <w:rsid w:val="00FC4514"/>
    <w:rsid w:val="00FE0084"/>
    <w:rsid w:val="00FE17AA"/>
    <w:rsid w:val="00FE1C1E"/>
    <w:rsid w:val="00FE1D2A"/>
    <w:rsid w:val="00FE2DF9"/>
    <w:rsid w:val="00FE414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2F220"/>
  <w15:docId w15:val="{BB1DB2E6-5A12-4382-A3A9-72EBB2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F2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DF2F4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rsid w:val="00DF2F4A"/>
    <w:rPr>
      <w:sz w:val="16"/>
      <w:szCs w:val="16"/>
    </w:rPr>
  </w:style>
  <w:style w:type="paragraph" w:styleId="aa">
    <w:name w:val="annotation text"/>
    <w:basedOn w:val="a"/>
    <w:link w:val="ab"/>
    <w:rsid w:val="00DF2F4A"/>
  </w:style>
  <w:style w:type="character" w:customStyle="1" w:styleId="ab">
    <w:name w:val="Текст примечания Знак"/>
    <w:basedOn w:val="a0"/>
    <w:link w:val="aa"/>
    <w:rsid w:val="00DF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2F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F4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315CB0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315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154F9"/>
  </w:style>
  <w:style w:type="character" w:customStyle="1" w:styleId="af2">
    <w:name w:val="Текст сноски Знак"/>
    <w:basedOn w:val="a0"/>
    <w:link w:val="af1"/>
    <w:uiPriority w:val="99"/>
    <w:semiHidden/>
    <w:rsid w:val="00815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15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8E95-8B6C-4FA5-A065-1866477C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Лариса Георгиевна</dc:creator>
  <cp:lastModifiedBy>Крысанова Алена Валерьевна</cp:lastModifiedBy>
  <cp:revision>3</cp:revision>
  <cp:lastPrinted>2022-03-16T09:54:00Z</cp:lastPrinted>
  <dcterms:created xsi:type="dcterms:W3CDTF">2022-05-31T15:36:00Z</dcterms:created>
  <dcterms:modified xsi:type="dcterms:W3CDTF">2022-05-31T15:51:00Z</dcterms:modified>
</cp:coreProperties>
</file>