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E95BA" w14:textId="77777777" w:rsidR="003C6B5B" w:rsidRDefault="00405F5A" w:rsidP="00405F5A">
      <w:pPr>
        <w:spacing w:line="276" w:lineRule="auto"/>
        <w:jc w:val="center"/>
        <w:rPr>
          <w:rFonts w:ascii="Verdana" w:hAnsi="Verdana"/>
          <w:b/>
          <w:noProof/>
          <w:sz w:val="22"/>
          <w:szCs w:val="22"/>
        </w:rPr>
      </w:pPr>
      <w:r w:rsidRPr="00221812">
        <w:rPr>
          <w:rFonts w:ascii="Verdana" w:hAnsi="Verdana"/>
          <w:b/>
          <w:noProof/>
          <w:sz w:val="22"/>
          <w:szCs w:val="22"/>
        </w:rPr>
        <w:t>Правила проведения акции</w:t>
      </w:r>
      <w:r>
        <w:rPr>
          <w:rFonts w:ascii="Verdana" w:hAnsi="Verdana"/>
          <w:b/>
          <w:noProof/>
          <w:sz w:val="22"/>
          <w:szCs w:val="22"/>
        </w:rPr>
        <w:t xml:space="preserve"> </w:t>
      </w:r>
    </w:p>
    <w:p w14:paraId="77E2E428" w14:textId="54E6882B" w:rsidR="00405F5A" w:rsidRPr="00221812" w:rsidRDefault="003C6B5B" w:rsidP="00405F5A">
      <w:pPr>
        <w:spacing w:line="276" w:lineRule="auto"/>
        <w:jc w:val="center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t xml:space="preserve">по банковскому счету для физических лиц </w:t>
      </w:r>
      <w:r w:rsidR="00405F5A" w:rsidRPr="003C6B5B">
        <w:rPr>
          <w:rFonts w:ascii="Verdana" w:hAnsi="Verdana"/>
          <w:b/>
          <w:noProof/>
          <w:sz w:val="22"/>
          <w:szCs w:val="22"/>
        </w:rPr>
        <w:t>«</w:t>
      </w:r>
      <w:r w:rsidRPr="003C6B5B">
        <w:rPr>
          <w:rFonts w:ascii="Verdana" w:hAnsi="Verdana"/>
          <w:b/>
          <w:noProof/>
          <w:sz w:val="22"/>
          <w:szCs w:val="22"/>
        </w:rPr>
        <w:t>БИПЛАН</w:t>
      </w:r>
      <w:r w:rsidR="00405F5A" w:rsidRPr="003C6B5B">
        <w:rPr>
          <w:rFonts w:ascii="Verdana" w:hAnsi="Verdana"/>
          <w:b/>
          <w:noProof/>
          <w:sz w:val="22"/>
          <w:szCs w:val="22"/>
        </w:rPr>
        <w:t>»</w:t>
      </w:r>
      <w:r w:rsidR="00405F5A">
        <w:rPr>
          <w:rFonts w:ascii="Verdana" w:hAnsi="Verdana"/>
          <w:b/>
          <w:noProof/>
          <w:sz w:val="22"/>
          <w:szCs w:val="22"/>
        </w:rPr>
        <w:t xml:space="preserve"> </w:t>
      </w:r>
      <w:r>
        <w:rPr>
          <w:rFonts w:ascii="Verdana" w:hAnsi="Verdana"/>
          <w:b/>
          <w:noProof/>
          <w:sz w:val="22"/>
          <w:szCs w:val="22"/>
        </w:rPr>
        <w:t xml:space="preserve">в ББР Банке (АО) </w:t>
      </w:r>
      <w:r w:rsidR="00A07CEE">
        <w:rPr>
          <w:rFonts w:ascii="Verdana" w:hAnsi="Verdana"/>
          <w:b/>
          <w:noProof/>
          <w:sz w:val="22"/>
          <w:szCs w:val="22"/>
        </w:rPr>
        <w:t>(далее – Правила)</w:t>
      </w:r>
    </w:p>
    <w:p w14:paraId="5657C1CC" w14:textId="77777777" w:rsidR="00405F5A" w:rsidRPr="00A67601" w:rsidRDefault="00405F5A" w:rsidP="005276CD">
      <w:pPr>
        <w:jc w:val="both"/>
        <w:rPr>
          <w:rFonts w:ascii="Verdana" w:hAnsi="Verdana"/>
          <w:b/>
          <w:noProof/>
          <w:sz w:val="22"/>
          <w:szCs w:val="22"/>
        </w:rPr>
      </w:pPr>
    </w:p>
    <w:p w14:paraId="7FB2A545" w14:textId="646C2DA7" w:rsidR="00405F5A" w:rsidRDefault="00405F5A" w:rsidP="005276CD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</w:rPr>
      </w:pPr>
      <w:r w:rsidRPr="00A67601">
        <w:rPr>
          <w:rFonts w:ascii="Verdana" w:hAnsi="Verdana"/>
          <w:b/>
          <w:noProof/>
        </w:rPr>
        <w:t>Акция</w:t>
      </w:r>
      <w:r w:rsidRPr="005276CD">
        <w:rPr>
          <w:rFonts w:ascii="Verdana" w:hAnsi="Verdana"/>
          <w:b/>
          <w:noProof/>
        </w:rPr>
        <w:t xml:space="preserve"> </w:t>
      </w:r>
      <w:r w:rsidRPr="005276CD">
        <w:rPr>
          <w:rFonts w:ascii="Verdana" w:hAnsi="Verdana"/>
          <w:noProof/>
        </w:rPr>
        <w:t xml:space="preserve">(далее – Акция) проводится в рамках рекламной кампании по привлечению ББР Банком (АО) (далее - Банк) денежных средств физических лиц </w:t>
      </w:r>
      <w:r w:rsidR="003C6B5B">
        <w:rPr>
          <w:rFonts w:ascii="Verdana" w:hAnsi="Verdana"/>
          <w:noProof/>
        </w:rPr>
        <w:t>на банковский счет «БИПЛАН»</w:t>
      </w:r>
      <w:r w:rsidR="000433D8">
        <w:rPr>
          <w:rFonts w:ascii="Verdana" w:hAnsi="Verdana"/>
          <w:noProof/>
        </w:rPr>
        <w:t xml:space="preserve"> (далее - Счет)</w:t>
      </w:r>
      <w:r w:rsidR="003C6B5B">
        <w:rPr>
          <w:rFonts w:ascii="Verdana" w:hAnsi="Verdana"/>
          <w:noProof/>
        </w:rPr>
        <w:t>, а также с целью привлечения в Банк новых клиентов</w:t>
      </w:r>
      <w:r w:rsidR="00A07CEE" w:rsidRPr="005276CD">
        <w:rPr>
          <w:rFonts w:ascii="Verdana" w:hAnsi="Verdana"/>
          <w:noProof/>
        </w:rPr>
        <w:t>.</w:t>
      </w:r>
    </w:p>
    <w:p w14:paraId="037B3311" w14:textId="6459E67D" w:rsidR="005276CD" w:rsidRDefault="005276CD" w:rsidP="005276CD">
      <w:pPr>
        <w:pStyle w:val="a7"/>
        <w:spacing w:after="0" w:line="240" w:lineRule="auto"/>
        <w:ind w:left="0"/>
        <w:jc w:val="both"/>
        <w:rPr>
          <w:rFonts w:ascii="Verdana" w:hAnsi="Verdana"/>
        </w:rPr>
      </w:pPr>
    </w:p>
    <w:p w14:paraId="2862D557" w14:textId="4E70E82D" w:rsidR="00A07CEE" w:rsidRDefault="00A07CEE" w:rsidP="005276CD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noProof/>
        </w:rPr>
      </w:pPr>
      <w:r w:rsidRPr="005276CD">
        <w:rPr>
          <w:rFonts w:ascii="Verdana" w:hAnsi="Verdana"/>
          <w:b/>
          <w:noProof/>
        </w:rPr>
        <w:t xml:space="preserve">Период проведения Акции: </w:t>
      </w:r>
      <w:r w:rsidRPr="00CD48EB">
        <w:rPr>
          <w:rFonts w:ascii="Verdana" w:hAnsi="Verdana"/>
          <w:b/>
          <w:noProof/>
        </w:rPr>
        <w:t xml:space="preserve">с </w:t>
      </w:r>
      <w:r w:rsidR="003C6B5B">
        <w:rPr>
          <w:rFonts w:ascii="Verdana" w:hAnsi="Verdana"/>
          <w:b/>
          <w:noProof/>
        </w:rPr>
        <w:t>09</w:t>
      </w:r>
      <w:r w:rsidRPr="00B108BF">
        <w:rPr>
          <w:rFonts w:ascii="Verdana" w:hAnsi="Verdana"/>
          <w:b/>
          <w:noProof/>
        </w:rPr>
        <w:t xml:space="preserve"> </w:t>
      </w:r>
      <w:r w:rsidR="003C6B5B">
        <w:rPr>
          <w:rFonts w:ascii="Verdana" w:hAnsi="Verdana"/>
          <w:b/>
          <w:noProof/>
        </w:rPr>
        <w:t>декабря</w:t>
      </w:r>
      <w:r w:rsidRPr="00B108BF">
        <w:rPr>
          <w:rFonts w:ascii="Verdana" w:hAnsi="Verdana"/>
          <w:b/>
          <w:noProof/>
        </w:rPr>
        <w:t xml:space="preserve"> 2021</w:t>
      </w:r>
      <w:r w:rsidRPr="00CD48EB">
        <w:rPr>
          <w:rFonts w:ascii="Verdana" w:hAnsi="Verdana"/>
          <w:b/>
          <w:noProof/>
        </w:rPr>
        <w:t xml:space="preserve"> г. </w:t>
      </w:r>
      <w:r w:rsidR="00F07881" w:rsidRPr="00A52AEE">
        <w:rPr>
          <w:rFonts w:ascii="Verdana" w:hAnsi="Verdana"/>
          <w:b/>
          <w:noProof/>
        </w:rPr>
        <w:t>до отмены по отдельному распоряжению Банка.</w:t>
      </w:r>
      <w:r w:rsidRPr="00A52AEE">
        <w:rPr>
          <w:rFonts w:ascii="Verdana" w:hAnsi="Verdana"/>
          <w:noProof/>
        </w:rPr>
        <w:t xml:space="preserve"> Банк вправе в односторо</w:t>
      </w:r>
      <w:r w:rsidRPr="0058696B">
        <w:rPr>
          <w:rFonts w:ascii="Verdana" w:hAnsi="Verdana"/>
          <w:noProof/>
        </w:rPr>
        <w:t>ннем порядке изменить с</w:t>
      </w:r>
      <w:r w:rsidRPr="005276CD">
        <w:rPr>
          <w:rFonts w:ascii="Verdana" w:hAnsi="Verdana"/>
          <w:noProof/>
        </w:rPr>
        <w:t xml:space="preserve">роки проведения Акции или отменить проведение Акции в порядке и сроки, установленные </w:t>
      </w:r>
      <w:r w:rsidRPr="000433D8">
        <w:rPr>
          <w:rFonts w:ascii="Verdana" w:hAnsi="Verdana"/>
          <w:noProof/>
        </w:rPr>
        <w:t>в п.7</w:t>
      </w:r>
      <w:r w:rsidRPr="005276CD">
        <w:rPr>
          <w:rFonts w:ascii="Verdana" w:hAnsi="Verdana"/>
          <w:noProof/>
        </w:rPr>
        <w:t xml:space="preserve"> Правил.</w:t>
      </w:r>
    </w:p>
    <w:p w14:paraId="729F2CFD" w14:textId="77777777" w:rsidR="005276CD" w:rsidRPr="005276CD" w:rsidRDefault="005276CD" w:rsidP="005276CD">
      <w:pPr>
        <w:pStyle w:val="a7"/>
        <w:spacing w:after="0" w:line="240" w:lineRule="auto"/>
        <w:ind w:left="0"/>
        <w:jc w:val="both"/>
        <w:rPr>
          <w:rFonts w:ascii="Verdana" w:hAnsi="Verdana"/>
          <w:noProof/>
        </w:rPr>
      </w:pPr>
    </w:p>
    <w:p w14:paraId="5F8DE390" w14:textId="77777777" w:rsidR="00A07CEE" w:rsidRPr="005276CD" w:rsidRDefault="00A07CEE" w:rsidP="005276CD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b/>
          <w:noProof/>
        </w:rPr>
      </w:pPr>
      <w:r w:rsidRPr="005276CD">
        <w:rPr>
          <w:rFonts w:ascii="Verdana" w:hAnsi="Verdana"/>
          <w:b/>
          <w:noProof/>
        </w:rPr>
        <w:t xml:space="preserve">Организатор Акции: </w:t>
      </w:r>
      <w:r w:rsidRPr="005276CD">
        <w:rPr>
          <w:rFonts w:ascii="Verdana" w:hAnsi="Verdana"/>
          <w:noProof/>
        </w:rPr>
        <w:t>ББР Банк (АО), лицензия на осуществление банковских операций от 27 января 2015 года № 2929; номер в реестре банков-участников обязательного страхования вкладов № 795, дата внесения в реестр — 21 марта 2005 года.</w:t>
      </w:r>
    </w:p>
    <w:p w14:paraId="615FFCAD" w14:textId="77777777" w:rsidR="005276CD" w:rsidRPr="005276CD" w:rsidRDefault="005276CD" w:rsidP="005276CD">
      <w:pPr>
        <w:pStyle w:val="a7"/>
        <w:rPr>
          <w:rFonts w:ascii="Verdana" w:hAnsi="Verdana"/>
          <w:b/>
          <w:noProof/>
        </w:rPr>
      </w:pPr>
    </w:p>
    <w:p w14:paraId="3A6D723B" w14:textId="5B61E8F1" w:rsidR="00A07CEE" w:rsidRPr="00254B75" w:rsidRDefault="00A07CEE" w:rsidP="005276CD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b/>
          <w:noProof/>
        </w:rPr>
      </w:pPr>
      <w:r w:rsidRPr="005276CD">
        <w:rPr>
          <w:rFonts w:ascii="Verdana" w:hAnsi="Verdana"/>
          <w:b/>
          <w:noProof/>
        </w:rPr>
        <w:t xml:space="preserve">Место проведения Акции: </w:t>
      </w:r>
      <w:r w:rsidR="003C6B5B" w:rsidRPr="00791D62">
        <w:rPr>
          <w:rFonts w:ascii="Verdana" w:hAnsi="Verdana"/>
          <w:noProof/>
        </w:rPr>
        <w:t>Головной офис Банка, филиалы Банка и их внутренние структурные подразделения, Система Интернет – Банк «ББР Онлайн».</w:t>
      </w:r>
    </w:p>
    <w:p w14:paraId="13C4252B" w14:textId="77777777" w:rsidR="005276CD" w:rsidRPr="00A67601" w:rsidRDefault="005276CD" w:rsidP="005276CD">
      <w:pPr>
        <w:pStyle w:val="a7"/>
        <w:rPr>
          <w:rFonts w:ascii="Verdana" w:hAnsi="Verdana"/>
          <w:b/>
          <w:noProof/>
        </w:rPr>
      </w:pPr>
    </w:p>
    <w:p w14:paraId="4F3CAA5C" w14:textId="0A56A451" w:rsidR="003C6B5B" w:rsidRPr="006E4874" w:rsidRDefault="00A07CEE" w:rsidP="004D1741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noProof/>
        </w:rPr>
      </w:pPr>
      <w:r w:rsidRPr="006E4874">
        <w:rPr>
          <w:rFonts w:ascii="Verdana" w:hAnsi="Verdana"/>
          <w:b/>
          <w:noProof/>
        </w:rPr>
        <w:t xml:space="preserve">Участники Акции: </w:t>
      </w:r>
      <w:r w:rsidR="006E4874" w:rsidRPr="006E4874">
        <w:rPr>
          <w:rFonts w:ascii="Verdana" w:hAnsi="Verdana"/>
          <w:noProof/>
        </w:rPr>
        <w:t xml:space="preserve">Физические лица, имеющие в Банке действующий </w:t>
      </w:r>
      <w:r w:rsidR="000433D8">
        <w:rPr>
          <w:rFonts w:ascii="Verdana" w:hAnsi="Verdana"/>
          <w:noProof/>
        </w:rPr>
        <w:t>Счет</w:t>
      </w:r>
      <w:r w:rsidR="006E4874" w:rsidRPr="006E4874">
        <w:rPr>
          <w:rFonts w:ascii="Verdana" w:hAnsi="Verdana"/>
          <w:noProof/>
        </w:rPr>
        <w:t xml:space="preserve">, а также </w:t>
      </w:r>
      <w:r w:rsidR="003C6B5B" w:rsidRPr="006E4874">
        <w:rPr>
          <w:rFonts w:ascii="Verdana" w:hAnsi="Verdana"/>
          <w:noProof/>
        </w:rPr>
        <w:t xml:space="preserve">обратившиеся в Банк в Период проведения Акции с целью открытия </w:t>
      </w:r>
      <w:r w:rsidR="000433D8">
        <w:rPr>
          <w:rFonts w:ascii="Verdana" w:hAnsi="Verdana"/>
          <w:noProof/>
        </w:rPr>
        <w:t>Счета</w:t>
      </w:r>
      <w:r w:rsidR="003C6B5B" w:rsidRPr="006E4874">
        <w:rPr>
          <w:rFonts w:ascii="Verdana" w:hAnsi="Verdana"/>
          <w:noProof/>
        </w:rPr>
        <w:t>.</w:t>
      </w:r>
    </w:p>
    <w:p w14:paraId="36793E67" w14:textId="77777777" w:rsidR="005276CD" w:rsidRPr="005276CD" w:rsidRDefault="005276CD" w:rsidP="005276CD">
      <w:pPr>
        <w:pStyle w:val="a7"/>
        <w:rPr>
          <w:rFonts w:ascii="Verdana" w:hAnsi="Verdana"/>
          <w:noProof/>
        </w:rPr>
      </w:pPr>
    </w:p>
    <w:p w14:paraId="3151C1F9" w14:textId="41BAA376" w:rsidR="006E4874" w:rsidRDefault="00A26898" w:rsidP="000433D8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noProof/>
        </w:rPr>
      </w:pPr>
      <w:r w:rsidRPr="000433D8">
        <w:rPr>
          <w:rFonts w:ascii="Verdana" w:hAnsi="Verdana"/>
          <w:b/>
          <w:noProof/>
        </w:rPr>
        <w:t>Порядок проведения Акции:</w:t>
      </w:r>
      <w:r w:rsidR="000433D8" w:rsidRPr="000433D8">
        <w:rPr>
          <w:rFonts w:ascii="Verdana" w:hAnsi="Verdana"/>
          <w:b/>
          <w:noProof/>
        </w:rPr>
        <w:t xml:space="preserve"> </w:t>
      </w:r>
      <w:r w:rsidR="00783557" w:rsidRPr="00EB4B6B">
        <w:rPr>
          <w:rFonts w:ascii="Verdana" w:hAnsi="Verdana"/>
          <w:noProof/>
        </w:rPr>
        <w:t>В период проведения</w:t>
      </w:r>
      <w:r w:rsidR="006E4874" w:rsidRPr="000433D8">
        <w:rPr>
          <w:rFonts w:ascii="Verdana" w:hAnsi="Verdana"/>
          <w:noProof/>
        </w:rPr>
        <w:t xml:space="preserve"> Акции размеры Дополнительных поцентов на остаток по банковскому счету за проведение в ТСП операций безналичной оплаты с использованием банковской карты, ее реквизитов, счета карты</w:t>
      </w:r>
      <w:r w:rsidR="00F40420">
        <w:rPr>
          <w:rFonts w:ascii="Verdana" w:hAnsi="Verdana"/>
          <w:noProof/>
        </w:rPr>
        <w:t xml:space="preserve">, действующих </w:t>
      </w:r>
      <w:r w:rsidR="00F40420" w:rsidRPr="000433D8">
        <w:rPr>
          <w:rFonts w:ascii="Verdana" w:hAnsi="Verdana"/>
          <w:noProof/>
        </w:rPr>
        <w:t>Услови</w:t>
      </w:r>
      <w:r w:rsidR="00F40420">
        <w:rPr>
          <w:rFonts w:ascii="Verdana" w:hAnsi="Verdana"/>
          <w:noProof/>
        </w:rPr>
        <w:t>й</w:t>
      </w:r>
      <w:r w:rsidR="00F40420" w:rsidRPr="000433D8">
        <w:rPr>
          <w:rFonts w:ascii="Verdana" w:hAnsi="Verdana"/>
          <w:noProof/>
        </w:rPr>
        <w:t xml:space="preserve"> открытия физическими лицами текущих счетов с начислением процентов в ББР Банке (АО)</w:t>
      </w:r>
      <w:r w:rsidR="00F40420">
        <w:rPr>
          <w:rFonts w:ascii="Verdana" w:hAnsi="Verdana"/>
          <w:noProof/>
        </w:rPr>
        <w:t xml:space="preserve"> (а именно Паспорт продукта «Банковский счет для физических лиц «БИПЛАН»»)</w:t>
      </w:r>
      <w:r w:rsidR="006E4874" w:rsidRPr="000433D8">
        <w:rPr>
          <w:rFonts w:ascii="Verdana" w:hAnsi="Verdana"/>
          <w:noProof/>
        </w:rPr>
        <w:t xml:space="preserve"> </w:t>
      </w:r>
      <w:r w:rsidR="00783557">
        <w:rPr>
          <w:rFonts w:ascii="Verdana" w:hAnsi="Verdana"/>
          <w:noProof/>
        </w:rPr>
        <w:t>установить в следующем размере</w:t>
      </w:r>
      <w:r w:rsidR="006E4874" w:rsidRPr="000433D8">
        <w:rPr>
          <w:rFonts w:ascii="Verdana" w:hAnsi="Verdana"/>
          <w:noProof/>
        </w:rPr>
        <w:t>:</w:t>
      </w:r>
    </w:p>
    <w:p w14:paraId="2E81915A" w14:textId="14508953" w:rsidR="000433D8" w:rsidRPr="000433D8" w:rsidRDefault="000433D8" w:rsidP="000433D8">
      <w:pPr>
        <w:jc w:val="both"/>
        <w:rPr>
          <w:rFonts w:ascii="Verdana" w:hAnsi="Verdana"/>
          <w:noProof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4252"/>
        <w:gridCol w:w="3261"/>
      </w:tblGrid>
      <w:tr w:rsidR="006E4874" w14:paraId="2D250145" w14:textId="77777777" w:rsidTr="000433D8">
        <w:trPr>
          <w:trHeight w:val="284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7BD57" w14:textId="77777777" w:rsidR="006E4874" w:rsidRPr="000433D8" w:rsidRDefault="006E4874" w:rsidP="000433D8">
            <w:pPr>
              <w:jc w:val="center"/>
              <w:rPr>
                <w:rFonts w:ascii="Verdana" w:eastAsia="Cambria" w:hAnsi="Verdana" w:cs="Arial"/>
                <w:bCs/>
              </w:rPr>
            </w:pPr>
            <w:r w:rsidRPr="000433D8">
              <w:rPr>
                <w:rFonts w:ascii="Verdana" w:eastAsia="Cambria" w:hAnsi="Verdana" w:cs="Arial"/>
                <w:b/>
                <w:bCs/>
              </w:rPr>
              <w:t>Валюта счета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77344" w14:textId="77777777" w:rsidR="006E4874" w:rsidRPr="000433D8" w:rsidRDefault="006E4874" w:rsidP="000433D8">
            <w:pPr>
              <w:ind w:right="260"/>
              <w:jc w:val="center"/>
              <w:rPr>
                <w:rFonts w:ascii="Verdana" w:eastAsia="Cambria" w:hAnsi="Verdana" w:cs="Arial"/>
              </w:rPr>
            </w:pPr>
            <w:r w:rsidRPr="000433D8">
              <w:rPr>
                <w:rFonts w:ascii="Verdana" w:eastAsia="Cambria" w:hAnsi="Verdana" w:cs="Arial"/>
                <w:b/>
                <w:bCs/>
              </w:rPr>
              <w:t>Суммовые интервалы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CDC26" w14:textId="77777777" w:rsidR="000433D8" w:rsidRDefault="006E4874" w:rsidP="000433D8">
            <w:pPr>
              <w:jc w:val="center"/>
              <w:rPr>
                <w:rFonts w:ascii="Verdana" w:eastAsia="Cambria" w:hAnsi="Verdana"/>
                <w:b/>
                <w:noProof/>
              </w:rPr>
            </w:pPr>
            <w:r w:rsidRPr="000433D8">
              <w:rPr>
                <w:rFonts w:ascii="Verdana" w:eastAsia="Cambria" w:hAnsi="Verdana"/>
                <w:b/>
                <w:noProof/>
              </w:rPr>
              <w:t xml:space="preserve">Процентная ставка, </w:t>
            </w:r>
          </w:p>
          <w:p w14:paraId="702DEE89" w14:textId="0B18687B" w:rsidR="006E4874" w:rsidRPr="000433D8" w:rsidRDefault="006E4874" w:rsidP="000433D8">
            <w:pPr>
              <w:jc w:val="center"/>
              <w:rPr>
                <w:rFonts w:ascii="Verdana" w:hAnsi="Verdana"/>
              </w:rPr>
            </w:pPr>
            <w:r w:rsidRPr="000433D8">
              <w:rPr>
                <w:rFonts w:ascii="Verdana" w:eastAsia="Cambria" w:hAnsi="Verdana"/>
                <w:b/>
                <w:noProof/>
              </w:rPr>
              <w:t>% годовых</w:t>
            </w:r>
          </w:p>
        </w:tc>
      </w:tr>
      <w:tr w:rsidR="006E4874" w14:paraId="184DEA2A" w14:textId="77777777" w:rsidTr="000433D8">
        <w:trPr>
          <w:trHeight w:val="284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E8583" w14:textId="77777777" w:rsidR="006E4874" w:rsidRPr="000433D8" w:rsidRDefault="006E4874" w:rsidP="000224DB">
            <w:pPr>
              <w:rPr>
                <w:rFonts w:ascii="Verdana" w:eastAsia="Cambria" w:hAnsi="Verdana" w:cs="Arial"/>
                <w:bCs/>
              </w:rPr>
            </w:pPr>
            <w:r w:rsidRPr="000433D8">
              <w:rPr>
                <w:rFonts w:ascii="Verdana" w:eastAsia="Cambria" w:hAnsi="Verdana" w:cs="Arial"/>
                <w:bCs/>
              </w:rPr>
              <w:t xml:space="preserve">Рубли РФ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4DD70" w14:textId="77777777" w:rsidR="006E4874" w:rsidRPr="000433D8" w:rsidRDefault="006E4874" w:rsidP="000224DB">
            <w:pPr>
              <w:ind w:right="260"/>
              <w:rPr>
                <w:rFonts w:ascii="Verdana" w:eastAsia="Cambria" w:hAnsi="Verdana" w:cs="Arial"/>
              </w:rPr>
            </w:pPr>
            <w:r w:rsidRPr="000433D8">
              <w:rPr>
                <w:rFonts w:ascii="Verdana" w:hAnsi="Verdana"/>
              </w:rPr>
              <w:t>до 5 000,00 (вкл.)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FEC6E" w14:textId="77777777" w:rsidR="006E4874" w:rsidRPr="000433D8" w:rsidRDefault="006E4874" w:rsidP="006E4874">
            <w:pPr>
              <w:jc w:val="center"/>
              <w:rPr>
                <w:rFonts w:ascii="Verdana" w:hAnsi="Verdana"/>
              </w:rPr>
            </w:pPr>
            <w:r w:rsidRPr="000433D8">
              <w:rPr>
                <w:rFonts w:ascii="Verdana" w:hAnsi="Verdana"/>
              </w:rPr>
              <w:t>0.00</w:t>
            </w:r>
          </w:p>
        </w:tc>
      </w:tr>
      <w:tr w:rsidR="006E4874" w14:paraId="06FD5654" w14:textId="77777777" w:rsidTr="000433D8">
        <w:trPr>
          <w:trHeight w:val="284"/>
        </w:trPr>
        <w:tc>
          <w:tcPr>
            <w:tcW w:w="1980" w:type="dxa"/>
            <w:vMerge/>
            <w:shd w:val="clear" w:color="auto" w:fill="auto"/>
            <w:vAlign w:val="center"/>
          </w:tcPr>
          <w:p w14:paraId="001D1B90" w14:textId="77777777" w:rsidR="006E4874" w:rsidRPr="000433D8" w:rsidRDefault="006E4874" w:rsidP="000224DB">
            <w:pPr>
              <w:rPr>
                <w:rFonts w:ascii="Verdana" w:eastAsia="Cambria" w:hAnsi="Verdana" w:cs="Arial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70FAB" w14:textId="77777777" w:rsidR="006E4874" w:rsidRPr="000433D8" w:rsidRDefault="006E4874" w:rsidP="000224DB">
            <w:pPr>
              <w:ind w:right="260"/>
              <w:rPr>
                <w:rFonts w:ascii="Verdana" w:eastAsia="Cambria" w:hAnsi="Verdana" w:cs="Arial"/>
              </w:rPr>
            </w:pPr>
            <w:r w:rsidRPr="000433D8">
              <w:rPr>
                <w:rFonts w:ascii="Verdana" w:hAnsi="Verdana"/>
              </w:rPr>
              <w:t>от 5 000,01 до 20 000,00 (вкл.)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10158" w14:textId="0DD1F396" w:rsidR="006E4874" w:rsidRPr="000433D8" w:rsidRDefault="00A52AEE" w:rsidP="006E4874">
            <w:pPr>
              <w:jc w:val="center"/>
              <w:rPr>
                <w:rFonts w:ascii="Verdana" w:hAnsi="Verdana"/>
              </w:rPr>
            </w:pPr>
            <w:bookmarkStart w:id="0" w:name="_GoBack"/>
            <w:r w:rsidRPr="00F34C0A">
              <w:rPr>
                <w:rFonts w:ascii="Verdana" w:hAnsi="Verdana"/>
              </w:rPr>
              <w:t>1</w:t>
            </w:r>
            <w:r w:rsidR="006E4874" w:rsidRPr="00F34C0A">
              <w:rPr>
                <w:rFonts w:ascii="Verdana" w:hAnsi="Verdana"/>
              </w:rPr>
              <w:t>.50</w:t>
            </w:r>
            <w:bookmarkEnd w:id="0"/>
          </w:p>
        </w:tc>
      </w:tr>
      <w:tr w:rsidR="006E4874" w14:paraId="40B97184" w14:textId="77777777" w:rsidTr="000433D8">
        <w:trPr>
          <w:trHeight w:val="284"/>
        </w:trPr>
        <w:tc>
          <w:tcPr>
            <w:tcW w:w="1980" w:type="dxa"/>
            <w:vMerge/>
            <w:shd w:val="clear" w:color="auto" w:fill="auto"/>
            <w:vAlign w:val="center"/>
          </w:tcPr>
          <w:p w14:paraId="3FE58153" w14:textId="77777777" w:rsidR="006E4874" w:rsidRPr="000433D8" w:rsidRDefault="006E4874" w:rsidP="000224DB">
            <w:pPr>
              <w:rPr>
                <w:rFonts w:ascii="Verdana" w:eastAsia="Cambria" w:hAnsi="Verdana"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629F1874" w14:textId="77777777" w:rsidR="006E4874" w:rsidRPr="000433D8" w:rsidRDefault="006E4874" w:rsidP="000224DB">
            <w:pPr>
              <w:ind w:right="260"/>
              <w:rPr>
                <w:rFonts w:ascii="Verdana" w:eastAsia="Cambria" w:hAnsi="Verdana" w:cs="Arial"/>
              </w:rPr>
            </w:pPr>
            <w:r w:rsidRPr="000433D8">
              <w:rPr>
                <w:rFonts w:ascii="Verdana" w:hAnsi="Verdana"/>
              </w:rPr>
              <w:t>от 20 000,01 до 50 000,00 (вкл.)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C7A090A" w14:textId="1C7C3B9C" w:rsidR="006E4874" w:rsidRDefault="006E4874" w:rsidP="000224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4874" w14:paraId="01489917" w14:textId="77777777" w:rsidTr="000433D8">
        <w:trPr>
          <w:trHeight w:val="284"/>
        </w:trPr>
        <w:tc>
          <w:tcPr>
            <w:tcW w:w="1980" w:type="dxa"/>
            <w:vMerge/>
            <w:shd w:val="clear" w:color="auto" w:fill="auto"/>
            <w:vAlign w:val="center"/>
          </w:tcPr>
          <w:p w14:paraId="2544A73A" w14:textId="77777777" w:rsidR="006E4874" w:rsidRPr="000433D8" w:rsidRDefault="006E4874" w:rsidP="000224DB">
            <w:pPr>
              <w:rPr>
                <w:rFonts w:ascii="Verdana" w:eastAsia="Cambria" w:hAnsi="Verdana"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55D0207B" w14:textId="77777777" w:rsidR="006E4874" w:rsidRPr="000433D8" w:rsidRDefault="006E4874" w:rsidP="000224DB">
            <w:pPr>
              <w:ind w:right="260"/>
              <w:rPr>
                <w:rFonts w:ascii="Verdana" w:eastAsia="Cambria" w:hAnsi="Verdana" w:cs="Arial"/>
              </w:rPr>
            </w:pPr>
            <w:r w:rsidRPr="000433D8">
              <w:rPr>
                <w:rFonts w:ascii="Verdana" w:hAnsi="Verdana"/>
              </w:rPr>
              <w:t>от 50 000,01 до 80 000,00 (вкл.)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C7AE24E" w14:textId="77D193D2" w:rsidR="006E4874" w:rsidRDefault="006E4874" w:rsidP="000224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4874" w14:paraId="678BBC09" w14:textId="77777777" w:rsidTr="000433D8">
        <w:trPr>
          <w:trHeight w:val="284"/>
        </w:trPr>
        <w:tc>
          <w:tcPr>
            <w:tcW w:w="1980" w:type="dxa"/>
            <w:vMerge/>
            <w:shd w:val="clear" w:color="auto" w:fill="auto"/>
            <w:vAlign w:val="center"/>
          </w:tcPr>
          <w:p w14:paraId="5925B729" w14:textId="77777777" w:rsidR="006E4874" w:rsidRPr="000433D8" w:rsidRDefault="006E4874" w:rsidP="000224DB">
            <w:pPr>
              <w:rPr>
                <w:rFonts w:ascii="Verdana" w:eastAsia="Cambria" w:hAnsi="Verdana"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16F07564" w14:textId="77777777" w:rsidR="006E4874" w:rsidRPr="000433D8" w:rsidRDefault="006E4874" w:rsidP="000224DB">
            <w:pPr>
              <w:ind w:right="260"/>
              <w:rPr>
                <w:rFonts w:ascii="Verdana" w:eastAsia="Cambria" w:hAnsi="Verdana" w:cs="Arial"/>
              </w:rPr>
            </w:pPr>
            <w:r w:rsidRPr="000433D8">
              <w:rPr>
                <w:rFonts w:ascii="Verdana" w:hAnsi="Verdana"/>
              </w:rPr>
              <w:t>от 80 000,01 до 150 000,00 (вкл.)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1D445F0" w14:textId="357DE019" w:rsidR="006E4874" w:rsidRDefault="006E4874" w:rsidP="000224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4874" w14:paraId="3D53DF13" w14:textId="77777777" w:rsidTr="000433D8">
        <w:trPr>
          <w:trHeight w:val="284"/>
        </w:trPr>
        <w:tc>
          <w:tcPr>
            <w:tcW w:w="1980" w:type="dxa"/>
            <w:vMerge/>
            <w:shd w:val="clear" w:color="auto" w:fill="auto"/>
            <w:vAlign w:val="center"/>
          </w:tcPr>
          <w:p w14:paraId="76B999C8" w14:textId="77777777" w:rsidR="006E4874" w:rsidRPr="000433D8" w:rsidRDefault="006E4874" w:rsidP="000224DB">
            <w:pPr>
              <w:rPr>
                <w:rFonts w:ascii="Verdana" w:eastAsia="Cambria" w:hAnsi="Verdana"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494D78CE" w14:textId="654670C0" w:rsidR="006E4874" w:rsidRPr="000433D8" w:rsidRDefault="006E4874" w:rsidP="000224DB">
            <w:pPr>
              <w:ind w:right="260"/>
              <w:rPr>
                <w:rFonts w:ascii="Verdana" w:eastAsia="Cambria" w:hAnsi="Verdana" w:cs="Arial"/>
              </w:rPr>
            </w:pPr>
            <w:r w:rsidRPr="000433D8">
              <w:rPr>
                <w:rFonts w:ascii="Verdana" w:hAnsi="Verdana"/>
              </w:rPr>
              <w:t>от 150 000,01 до 300 000,00 (вкл</w:t>
            </w:r>
            <w:r w:rsidR="000433D8">
              <w:rPr>
                <w:rFonts w:ascii="Verdana" w:hAnsi="Verdana"/>
              </w:rPr>
              <w:t>.</w:t>
            </w:r>
            <w:r w:rsidRPr="000433D8">
              <w:rPr>
                <w:rFonts w:ascii="Verdana" w:hAnsi="Verdana"/>
              </w:rPr>
              <w:t>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C204716" w14:textId="4B971B69" w:rsidR="006E4874" w:rsidRDefault="006E4874" w:rsidP="000224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4874" w14:paraId="51FA3D24" w14:textId="77777777" w:rsidTr="000433D8">
        <w:trPr>
          <w:trHeight w:val="284"/>
        </w:trPr>
        <w:tc>
          <w:tcPr>
            <w:tcW w:w="1980" w:type="dxa"/>
            <w:vMerge/>
            <w:shd w:val="clear" w:color="auto" w:fill="auto"/>
            <w:vAlign w:val="center"/>
          </w:tcPr>
          <w:p w14:paraId="55A1ABB3" w14:textId="77777777" w:rsidR="006E4874" w:rsidRPr="000433D8" w:rsidRDefault="006E4874" w:rsidP="000224DB">
            <w:pPr>
              <w:rPr>
                <w:rFonts w:ascii="Verdana" w:eastAsia="Cambria" w:hAnsi="Verdana" w:cs="Arial"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44DD07" w14:textId="77777777" w:rsidR="006E4874" w:rsidRPr="000433D8" w:rsidRDefault="006E4874" w:rsidP="000224DB">
            <w:pPr>
              <w:ind w:right="260"/>
              <w:rPr>
                <w:rFonts w:ascii="Verdana" w:eastAsia="Cambria" w:hAnsi="Verdana" w:cs="Arial"/>
              </w:rPr>
            </w:pPr>
            <w:r w:rsidRPr="000433D8">
              <w:rPr>
                <w:rFonts w:ascii="Verdana" w:hAnsi="Verdana"/>
              </w:rPr>
              <w:t>от 300 000,01 и выше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AE017B5" w14:textId="6E89DDDA" w:rsidR="006E4874" w:rsidRDefault="006E4874" w:rsidP="000224D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5E9925" w14:textId="7C25E8BE" w:rsidR="006E4874" w:rsidRDefault="006E4874" w:rsidP="006E4874">
      <w:pPr>
        <w:pStyle w:val="a7"/>
        <w:jc w:val="both"/>
        <w:rPr>
          <w:rFonts w:ascii="Verdana" w:hAnsi="Verdana"/>
          <w:noProof/>
          <w:sz w:val="20"/>
          <w:szCs w:val="20"/>
        </w:rPr>
      </w:pPr>
    </w:p>
    <w:p w14:paraId="555ECC17" w14:textId="17C0B32C" w:rsidR="006E4874" w:rsidRPr="000433D8" w:rsidRDefault="006E4874" w:rsidP="000433D8">
      <w:pPr>
        <w:pStyle w:val="a7"/>
        <w:ind w:left="0" w:firstLine="720"/>
        <w:jc w:val="both"/>
        <w:rPr>
          <w:rFonts w:ascii="Verdana" w:hAnsi="Verdana"/>
          <w:noProof/>
        </w:rPr>
      </w:pPr>
      <w:r w:rsidRPr="000433D8">
        <w:rPr>
          <w:rFonts w:ascii="Verdana" w:hAnsi="Verdana"/>
          <w:noProof/>
        </w:rPr>
        <w:t xml:space="preserve">Прочие параметры </w:t>
      </w:r>
      <w:r w:rsidR="00F40420">
        <w:rPr>
          <w:rFonts w:ascii="Verdana" w:hAnsi="Verdana"/>
          <w:noProof/>
        </w:rPr>
        <w:t>Счета</w:t>
      </w:r>
      <w:r w:rsidRPr="000433D8">
        <w:rPr>
          <w:rFonts w:ascii="Verdana" w:hAnsi="Verdana"/>
          <w:noProof/>
        </w:rPr>
        <w:t xml:space="preserve">, изложенные в Условиях </w:t>
      </w:r>
      <w:r w:rsidR="000433D8" w:rsidRPr="000433D8">
        <w:rPr>
          <w:rFonts w:ascii="Verdana" w:hAnsi="Verdana"/>
          <w:noProof/>
        </w:rPr>
        <w:t>открытия физическими лицами текущих счетов с начислением процентов в ББР Банке (АО)</w:t>
      </w:r>
      <w:r w:rsidR="00783557">
        <w:rPr>
          <w:rFonts w:ascii="Verdana" w:hAnsi="Verdana"/>
          <w:noProof/>
        </w:rPr>
        <w:t xml:space="preserve"> по </w:t>
      </w:r>
      <w:r w:rsidR="000433D8">
        <w:rPr>
          <w:rFonts w:ascii="Verdana" w:hAnsi="Verdana"/>
          <w:noProof/>
        </w:rPr>
        <w:t>счет</w:t>
      </w:r>
      <w:r w:rsidR="00783557">
        <w:rPr>
          <w:rFonts w:ascii="Verdana" w:hAnsi="Verdana"/>
          <w:noProof/>
        </w:rPr>
        <w:t>у</w:t>
      </w:r>
      <w:r w:rsidR="000433D8">
        <w:rPr>
          <w:rFonts w:ascii="Verdana" w:hAnsi="Verdana"/>
          <w:noProof/>
        </w:rPr>
        <w:t xml:space="preserve"> «БИПЛАН», </w:t>
      </w:r>
      <w:r w:rsidRPr="000433D8">
        <w:rPr>
          <w:rFonts w:ascii="Verdana" w:hAnsi="Verdana"/>
          <w:noProof/>
        </w:rPr>
        <w:t>за исключением выше указанных, оставить без изменений.</w:t>
      </w:r>
    </w:p>
    <w:p w14:paraId="4F226BE4" w14:textId="77777777" w:rsidR="005276CD" w:rsidRPr="005276CD" w:rsidRDefault="005276CD" w:rsidP="005276CD">
      <w:pPr>
        <w:pStyle w:val="a7"/>
        <w:spacing w:after="0" w:line="240" w:lineRule="auto"/>
        <w:ind w:left="0"/>
        <w:jc w:val="both"/>
        <w:rPr>
          <w:rFonts w:ascii="Verdana" w:hAnsi="Verdana"/>
          <w:noProof/>
        </w:rPr>
      </w:pPr>
    </w:p>
    <w:p w14:paraId="7691D654" w14:textId="77777777" w:rsidR="003672FF" w:rsidRPr="005276CD" w:rsidRDefault="003672FF" w:rsidP="005276CD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b/>
          <w:noProof/>
        </w:rPr>
      </w:pPr>
      <w:r w:rsidRPr="005276CD">
        <w:rPr>
          <w:rFonts w:ascii="Verdana" w:hAnsi="Verdana"/>
          <w:b/>
          <w:noProof/>
        </w:rPr>
        <w:t>Порядок информирования вкладчиков:</w:t>
      </w:r>
    </w:p>
    <w:p w14:paraId="53D83FD0" w14:textId="0DD9969C" w:rsidR="003672FF" w:rsidRPr="005276CD" w:rsidRDefault="003672FF" w:rsidP="00254B75">
      <w:pPr>
        <w:pStyle w:val="a7"/>
        <w:spacing w:after="0" w:line="240" w:lineRule="auto"/>
        <w:ind w:left="0" w:firstLine="709"/>
        <w:jc w:val="both"/>
        <w:rPr>
          <w:rFonts w:ascii="Verdana" w:hAnsi="Verdana"/>
          <w:noProof/>
        </w:rPr>
      </w:pPr>
      <w:r w:rsidRPr="005276CD">
        <w:rPr>
          <w:rFonts w:ascii="Verdana" w:hAnsi="Verdana"/>
          <w:noProof/>
        </w:rPr>
        <w:t xml:space="preserve">Подробная информация об Акции размещена в местах проведения Акции и на сайте Банка в информационно-телекоммуникационной сети Интернет </w:t>
      </w:r>
      <w:hyperlink r:id="rId8" w:history="1">
        <w:r w:rsidRPr="005276CD">
          <w:rPr>
            <w:rStyle w:val="a8"/>
            <w:rFonts w:ascii="Verdana" w:hAnsi="Verdana"/>
            <w:noProof/>
            <w:lang w:val="en-US"/>
          </w:rPr>
          <w:t>www</w:t>
        </w:r>
        <w:r w:rsidRPr="005276CD">
          <w:rPr>
            <w:rStyle w:val="a8"/>
            <w:rFonts w:ascii="Verdana" w:hAnsi="Verdana"/>
            <w:noProof/>
          </w:rPr>
          <w:t>.</w:t>
        </w:r>
        <w:r w:rsidRPr="005276CD">
          <w:rPr>
            <w:rStyle w:val="a8"/>
            <w:rFonts w:ascii="Verdana" w:hAnsi="Verdana"/>
            <w:noProof/>
            <w:lang w:val="en-US"/>
          </w:rPr>
          <w:t>bbr</w:t>
        </w:r>
        <w:r w:rsidRPr="005276CD">
          <w:rPr>
            <w:rStyle w:val="a8"/>
            <w:rFonts w:ascii="Verdana" w:hAnsi="Verdana"/>
            <w:noProof/>
          </w:rPr>
          <w:t>.</w:t>
        </w:r>
        <w:r w:rsidRPr="005276CD">
          <w:rPr>
            <w:rStyle w:val="a8"/>
            <w:rFonts w:ascii="Verdana" w:hAnsi="Verdana"/>
            <w:noProof/>
            <w:lang w:val="en-US"/>
          </w:rPr>
          <w:t>ru</w:t>
        </w:r>
      </w:hyperlink>
      <w:r w:rsidRPr="005276CD">
        <w:rPr>
          <w:rFonts w:ascii="Verdana" w:hAnsi="Verdana"/>
          <w:noProof/>
        </w:rPr>
        <w:t xml:space="preserve">. Допускается информирование вкладчиков об Акции через средства массовой информации, рекламные буклеты Банка и иной рекламный раздаточный или видео материал Банка. О любых изменениях условий, сроков проведения Акции Банк информирует </w:t>
      </w:r>
      <w:r w:rsidR="000433D8">
        <w:rPr>
          <w:rFonts w:ascii="Verdana" w:hAnsi="Verdana"/>
          <w:noProof/>
        </w:rPr>
        <w:t>клиентов</w:t>
      </w:r>
      <w:r w:rsidRPr="005276CD">
        <w:rPr>
          <w:rFonts w:ascii="Verdana" w:hAnsi="Verdana"/>
          <w:noProof/>
        </w:rPr>
        <w:t xml:space="preserve"> любыми способами, указанным в настоящем пункте, за один календарный день до даты таких изме</w:t>
      </w:r>
      <w:r w:rsidR="00565CA8" w:rsidRPr="005276CD">
        <w:rPr>
          <w:rFonts w:ascii="Verdana" w:hAnsi="Verdana"/>
          <w:noProof/>
        </w:rPr>
        <w:t>нений.</w:t>
      </w:r>
    </w:p>
    <w:sectPr w:rsidR="003672FF" w:rsidRPr="005276C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7353" w14:textId="77777777" w:rsidR="00E843A7" w:rsidRDefault="00E843A7" w:rsidP="00405F5A">
      <w:r>
        <w:separator/>
      </w:r>
    </w:p>
  </w:endnote>
  <w:endnote w:type="continuationSeparator" w:id="0">
    <w:p w14:paraId="19FF24E7" w14:textId="77777777" w:rsidR="00E843A7" w:rsidRDefault="00E843A7" w:rsidP="004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138"/>
      <w:gridCol w:w="8217"/>
    </w:tblGrid>
    <w:tr w:rsidR="00F527D8" w:rsidRPr="004F5476" w14:paraId="7C401BFC" w14:textId="77777777" w:rsidTr="00D130E7">
      <w:tc>
        <w:tcPr>
          <w:tcW w:w="608" w:type="pct"/>
          <w:vAlign w:val="center"/>
        </w:tcPr>
        <w:p w14:paraId="62856BE5" w14:textId="77777777" w:rsidR="00F527D8" w:rsidRPr="004F5476" w:rsidRDefault="00F527D8" w:rsidP="00F527D8">
          <w:pPr>
            <w:spacing w:line="276" w:lineRule="auto"/>
            <w:jc w:val="both"/>
            <w:outlineLvl w:val="0"/>
            <w:rPr>
              <w:rFonts w:ascii="Arial" w:eastAsia="Cambria" w:hAnsi="Arial" w:cs="Arial"/>
              <w:noProof/>
            </w:rPr>
          </w:pPr>
          <w:r>
            <w:rPr>
              <w:rFonts w:ascii="Arial" w:eastAsia="Cambria" w:hAnsi="Arial" w:cs="Arial"/>
              <w:noProof/>
            </w:rPr>
            <w:drawing>
              <wp:inline distT="0" distB="0" distL="0" distR="0" wp14:anchorId="45C43C0A" wp14:editId="14401750">
                <wp:extent cx="477520" cy="487680"/>
                <wp:effectExtent l="0" t="0" r="0" b="0"/>
                <wp:docPr id="2" name="Рисунок 1" descr="Вклады застрахов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Вклады застрахова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33891B1D" w14:textId="77777777" w:rsidR="00F527D8" w:rsidRPr="00F527D8" w:rsidRDefault="00F527D8" w:rsidP="00F527D8">
          <w:pPr>
            <w:jc w:val="both"/>
            <w:outlineLvl w:val="0"/>
            <w:rPr>
              <w:rFonts w:ascii="Verdana" w:eastAsia="Cambria" w:hAnsi="Verdana" w:cs="Arial"/>
              <w:noProof/>
              <w:sz w:val="18"/>
              <w:szCs w:val="18"/>
            </w:rPr>
          </w:pPr>
          <w:r w:rsidRPr="00F527D8">
            <w:rPr>
              <w:rFonts w:ascii="Verdana" w:eastAsia="Cambria" w:hAnsi="Verdana" w:cs="Arial"/>
              <w:noProof/>
              <w:sz w:val="18"/>
              <w:szCs w:val="18"/>
            </w:rPr>
            <w:t>ББР Банк (АО) входит в систему обязательного страхования вкладов</w:t>
          </w:r>
        </w:p>
        <w:p w14:paraId="2DE20918" w14:textId="77777777" w:rsidR="00F527D8" w:rsidRPr="00F527D8" w:rsidRDefault="00F527D8" w:rsidP="00F527D8">
          <w:pPr>
            <w:jc w:val="both"/>
            <w:outlineLvl w:val="0"/>
            <w:rPr>
              <w:rFonts w:ascii="Verdana" w:eastAsia="Cambria" w:hAnsi="Verdana" w:cs="Arial"/>
              <w:noProof/>
              <w:sz w:val="18"/>
              <w:szCs w:val="18"/>
            </w:rPr>
          </w:pPr>
          <w:r w:rsidRPr="00F527D8">
            <w:rPr>
              <w:rFonts w:ascii="Verdana" w:eastAsia="Cambria" w:hAnsi="Verdana" w:cs="Arial"/>
              <w:noProof/>
              <w:sz w:val="18"/>
              <w:szCs w:val="18"/>
            </w:rPr>
            <w:t>Номер в реестре банков-участников № 795.</w:t>
          </w:r>
        </w:p>
        <w:p w14:paraId="5383A43A" w14:textId="77777777" w:rsidR="00F527D8" w:rsidRPr="004F5476" w:rsidRDefault="00F527D8" w:rsidP="00F527D8">
          <w:pPr>
            <w:jc w:val="both"/>
            <w:outlineLvl w:val="0"/>
            <w:rPr>
              <w:rFonts w:ascii="Arial" w:eastAsia="Cambria" w:hAnsi="Arial" w:cs="Arial"/>
              <w:noProof/>
            </w:rPr>
          </w:pPr>
          <w:r w:rsidRPr="00F527D8">
            <w:rPr>
              <w:rFonts w:ascii="Verdana" w:eastAsia="Cambria" w:hAnsi="Verdana" w:cs="Arial"/>
              <w:noProof/>
              <w:sz w:val="18"/>
              <w:szCs w:val="18"/>
            </w:rPr>
            <w:t>Дата внесения в реестр — 21.03.2005</w:t>
          </w:r>
        </w:p>
      </w:tc>
    </w:tr>
  </w:tbl>
  <w:p w14:paraId="427E875C" w14:textId="77777777" w:rsidR="00F527D8" w:rsidRPr="00F527D8" w:rsidRDefault="00F527D8" w:rsidP="00F527D8">
    <w:pPr>
      <w:pStyle w:val="a5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1C7FC" w14:textId="77777777" w:rsidR="00E843A7" w:rsidRDefault="00E843A7" w:rsidP="00405F5A">
      <w:r>
        <w:separator/>
      </w:r>
    </w:p>
  </w:footnote>
  <w:footnote w:type="continuationSeparator" w:id="0">
    <w:p w14:paraId="4640DEF8" w14:textId="77777777" w:rsidR="00E843A7" w:rsidRDefault="00E843A7" w:rsidP="0040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DCC3" w14:textId="77777777" w:rsidR="00405F5A" w:rsidRDefault="00405F5A" w:rsidP="00405F5A">
    <w:pPr>
      <w:framePr w:hSpace="180" w:wrap="around" w:vAnchor="text" w:hAnchor="margin" w:y="-101"/>
      <w:ind w:left="4253"/>
      <w:rPr>
        <w:rFonts w:eastAsia="Cambria" w:cs="Arial"/>
        <w:noProof/>
      </w:rPr>
    </w:pPr>
  </w:p>
  <w:p w14:paraId="60A8E5F3" w14:textId="118259FA" w:rsidR="00405F5A" w:rsidRPr="0016752E" w:rsidRDefault="00905810" w:rsidP="00C04DD4">
    <w:pPr>
      <w:framePr w:hSpace="180" w:wrap="around" w:vAnchor="text" w:hAnchor="margin" w:y="-101"/>
      <w:ind w:left="3686"/>
      <w:rPr>
        <w:rFonts w:ascii="Verdana" w:eastAsia="Cambria" w:hAnsi="Verdana" w:cs="Arial"/>
        <w:noProof/>
        <w:sz w:val="18"/>
        <w:szCs w:val="18"/>
      </w:rPr>
    </w:pPr>
    <w:r>
      <w:rPr>
        <w:rFonts w:ascii="Verdana" w:eastAsia="Cambria" w:hAnsi="Verdana" w:cs="Arial"/>
        <w:noProof/>
        <w:sz w:val="18"/>
        <w:szCs w:val="18"/>
      </w:rPr>
      <w:t xml:space="preserve">Приложение </w:t>
    </w:r>
    <w:r w:rsidR="00A52AEE">
      <w:rPr>
        <w:rFonts w:ascii="Verdana" w:eastAsia="Cambria" w:hAnsi="Verdana" w:cs="Arial"/>
        <w:noProof/>
        <w:sz w:val="18"/>
        <w:szCs w:val="18"/>
      </w:rPr>
      <w:t>2</w:t>
    </w:r>
    <w:r w:rsidR="003C6B5B">
      <w:rPr>
        <w:rFonts w:ascii="Verdana" w:eastAsia="Cambria" w:hAnsi="Verdana" w:cs="Arial"/>
        <w:noProof/>
        <w:sz w:val="18"/>
        <w:szCs w:val="18"/>
      </w:rPr>
      <w:t xml:space="preserve"> к Приказу от</w:t>
    </w:r>
    <w:r w:rsidR="00A52AEE">
      <w:rPr>
        <w:rFonts w:ascii="Verdana" w:eastAsia="Cambria" w:hAnsi="Verdana" w:cs="Arial"/>
        <w:noProof/>
        <w:sz w:val="18"/>
        <w:szCs w:val="18"/>
      </w:rPr>
      <w:t xml:space="preserve"> </w:t>
    </w:r>
    <w:r w:rsidR="00BA1D1A">
      <w:rPr>
        <w:rFonts w:ascii="Verdana" w:eastAsia="Cambria" w:hAnsi="Verdana" w:cs="Arial"/>
        <w:noProof/>
        <w:sz w:val="18"/>
        <w:szCs w:val="18"/>
      </w:rPr>
      <w:t>28</w:t>
    </w:r>
    <w:r w:rsidR="00405F5A" w:rsidRPr="00B12E96">
      <w:rPr>
        <w:rFonts w:ascii="Verdana" w:eastAsia="Cambria" w:hAnsi="Verdana" w:cs="Arial"/>
        <w:noProof/>
        <w:sz w:val="18"/>
        <w:szCs w:val="18"/>
      </w:rPr>
      <w:t>.</w:t>
    </w:r>
    <w:r w:rsidR="00A52AEE">
      <w:rPr>
        <w:rFonts w:ascii="Verdana" w:eastAsia="Cambria" w:hAnsi="Verdana" w:cs="Arial"/>
        <w:noProof/>
        <w:sz w:val="18"/>
        <w:szCs w:val="18"/>
      </w:rPr>
      <w:t>04</w:t>
    </w:r>
    <w:r w:rsidR="00F1619A">
      <w:rPr>
        <w:rFonts w:ascii="Verdana" w:eastAsia="Cambria" w:hAnsi="Verdana" w:cs="Arial"/>
        <w:noProof/>
        <w:sz w:val="18"/>
        <w:szCs w:val="18"/>
      </w:rPr>
      <w:t>.</w:t>
    </w:r>
    <w:r w:rsidR="0016752E">
      <w:rPr>
        <w:rFonts w:ascii="Verdana" w:eastAsia="Cambria" w:hAnsi="Verdana" w:cs="Arial"/>
        <w:noProof/>
        <w:sz w:val="18"/>
        <w:szCs w:val="18"/>
      </w:rPr>
      <w:t>2023</w:t>
    </w:r>
    <w:r w:rsidR="00405F5A" w:rsidRPr="00B12E96">
      <w:rPr>
        <w:rFonts w:ascii="Verdana" w:eastAsia="Cambria" w:hAnsi="Verdana" w:cs="Arial"/>
        <w:noProof/>
        <w:sz w:val="18"/>
        <w:szCs w:val="18"/>
      </w:rPr>
      <w:t xml:space="preserve"> №</w:t>
    </w:r>
    <w:r w:rsidR="00665A10">
      <w:rPr>
        <w:rFonts w:ascii="Verdana" w:eastAsia="Cambria" w:hAnsi="Verdana" w:cs="Arial"/>
        <w:noProof/>
        <w:sz w:val="18"/>
        <w:szCs w:val="18"/>
      </w:rPr>
      <w:t xml:space="preserve"> </w:t>
    </w:r>
    <w:r w:rsidR="00F34C0A">
      <w:rPr>
        <w:rFonts w:ascii="Verdana" w:eastAsia="Cambria" w:hAnsi="Verdana" w:cs="Arial"/>
        <w:noProof/>
        <w:sz w:val="18"/>
        <w:szCs w:val="18"/>
      </w:rPr>
      <w:t>494</w:t>
    </w:r>
  </w:p>
  <w:p w14:paraId="4A8A9590" w14:textId="51832DCE" w:rsidR="00405F5A" w:rsidRPr="00B12E96" w:rsidRDefault="00405F5A" w:rsidP="00C04DD4">
    <w:pPr>
      <w:framePr w:hSpace="180" w:wrap="around" w:vAnchor="text" w:hAnchor="margin" w:y="-101"/>
      <w:ind w:left="3686"/>
      <w:rPr>
        <w:rFonts w:ascii="Verdana" w:eastAsia="Cambria" w:hAnsi="Verdana" w:cs="Arial"/>
        <w:noProof/>
        <w:sz w:val="18"/>
        <w:szCs w:val="18"/>
      </w:rPr>
    </w:pPr>
    <w:r w:rsidRPr="00B12E96">
      <w:rPr>
        <w:rFonts w:ascii="Verdana" w:eastAsia="Cambria" w:hAnsi="Verdana" w:cs="Arial"/>
        <w:noProof/>
        <w:sz w:val="18"/>
        <w:szCs w:val="18"/>
      </w:rPr>
      <w:t>Утверждены Протоколом Правления от</w:t>
    </w:r>
    <w:r w:rsidR="00F1619A">
      <w:rPr>
        <w:rFonts w:ascii="Verdana" w:eastAsia="Cambria" w:hAnsi="Verdana" w:cs="Arial"/>
        <w:noProof/>
        <w:sz w:val="18"/>
        <w:szCs w:val="18"/>
      </w:rPr>
      <w:t xml:space="preserve"> </w:t>
    </w:r>
    <w:r w:rsidR="00BA1D1A">
      <w:rPr>
        <w:rFonts w:ascii="Verdana" w:eastAsia="Cambria" w:hAnsi="Verdana" w:cs="Arial"/>
        <w:noProof/>
        <w:sz w:val="18"/>
        <w:szCs w:val="18"/>
      </w:rPr>
      <w:t>28</w:t>
    </w:r>
    <w:r w:rsidRPr="00B12E96">
      <w:rPr>
        <w:rFonts w:ascii="Verdana" w:eastAsia="Cambria" w:hAnsi="Verdana" w:cs="Arial"/>
        <w:noProof/>
        <w:sz w:val="18"/>
        <w:szCs w:val="18"/>
      </w:rPr>
      <w:t>.</w:t>
    </w:r>
    <w:r w:rsidR="00A52AEE">
      <w:rPr>
        <w:rFonts w:ascii="Verdana" w:eastAsia="Cambria" w:hAnsi="Verdana" w:cs="Arial"/>
        <w:noProof/>
        <w:sz w:val="18"/>
        <w:szCs w:val="18"/>
      </w:rPr>
      <w:t>04</w:t>
    </w:r>
    <w:r w:rsidRPr="00B12E96">
      <w:rPr>
        <w:rFonts w:ascii="Verdana" w:eastAsia="Cambria" w:hAnsi="Verdana" w:cs="Arial"/>
        <w:noProof/>
        <w:sz w:val="18"/>
        <w:szCs w:val="18"/>
      </w:rPr>
      <w:t>.202</w:t>
    </w:r>
    <w:r w:rsidR="0016752E">
      <w:rPr>
        <w:rFonts w:ascii="Verdana" w:eastAsia="Cambria" w:hAnsi="Verdana" w:cs="Arial"/>
        <w:noProof/>
        <w:sz w:val="18"/>
        <w:szCs w:val="18"/>
      </w:rPr>
      <w:t>3</w:t>
    </w:r>
    <w:r w:rsidRPr="00B12E96">
      <w:rPr>
        <w:rFonts w:ascii="Verdana" w:eastAsia="Cambria" w:hAnsi="Verdana" w:cs="Arial"/>
        <w:noProof/>
        <w:sz w:val="18"/>
        <w:szCs w:val="18"/>
      </w:rPr>
      <w:t xml:space="preserve"> №</w:t>
    </w:r>
    <w:r w:rsidR="0016752E">
      <w:rPr>
        <w:rFonts w:ascii="Verdana" w:eastAsia="Cambria" w:hAnsi="Verdana" w:cs="Arial"/>
        <w:noProof/>
        <w:sz w:val="18"/>
        <w:szCs w:val="18"/>
      </w:rPr>
      <w:t xml:space="preserve"> </w:t>
    </w:r>
    <w:r w:rsidR="00F34C0A">
      <w:rPr>
        <w:rFonts w:ascii="Verdana" w:eastAsia="Cambria" w:hAnsi="Verdana" w:cs="Arial"/>
        <w:noProof/>
        <w:sz w:val="18"/>
        <w:szCs w:val="18"/>
      </w:rPr>
      <w:t>42</w:t>
    </w:r>
  </w:p>
  <w:p w14:paraId="419887F5" w14:textId="73ED7166" w:rsidR="00405F5A" w:rsidRPr="00B12E96" w:rsidRDefault="00405F5A" w:rsidP="00C04DD4">
    <w:pPr>
      <w:pStyle w:val="a3"/>
      <w:ind w:left="3686"/>
      <w:rPr>
        <w:rFonts w:ascii="Verdana" w:hAnsi="Verdana" w:cs="Arial"/>
        <w:sz w:val="18"/>
        <w:szCs w:val="18"/>
      </w:rPr>
    </w:pPr>
    <w:r w:rsidRPr="00B12E96">
      <w:rPr>
        <w:rFonts w:ascii="Verdana" w:eastAsia="Cambria" w:hAnsi="Verdana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DA5C836" wp14:editId="0BFEB722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524000" cy="599440"/>
          <wp:effectExtent l="0" t="0" r="0" b="0"/>
          <wp:wrapTight wrapText="bothSides">
            <wp:wrapPolygon edited="0">
              <wp:start x="0" y="0"/>
              <wp:lineTo x="0" y="20593"/>
              <wp:lineTo x="21330" y="20593"/>
              <wp:lineTo x="21330" y="0"/>
              <wp:lineTo x="0" y="0"/>
            </wp:wrapPolygon>
          </wp:wrapTight>
          <wp:docPr id="3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E96">
      <w:rPr>
        <w:rFonts w:ascii="Verdana" w:eastAsia="Cambria" w:hAnsi="Verdana" w:cs="Arial"/>
        <w:noProof/>
        <w:sz w:val="18"/>
        <w:szCs w:val="18"/>
      </w:rPr>
      <w:t xml:space="preserve">Введены в действие с </w:t>
    </w:r>
    <w:r w:rsidR="003560DE">
      <w:rPr>
        <w:rFonts w:ascii="Verdana" w:eastAsia="Cambria" w:hAnsi="Verdana" w:cs="Arial"/>
        <w:noProof/>
        <w:sz w:val="18"/>
        <w:szCs w:val="18"/>
      </w:rPr>
      <w:t>01</w:t>
    </w:r>
    <w:r w:rsidRPr="00B12E96">
      <w:rPr>
        <w:rFonts w:ascii="Verdana" w:eastAsia="Cambria" w:hAnsi="Verdana" w:cs="Arial"/>
        <w:noProof/>
        <w:sz w:val="18"/>
        <w:szCs w:val="18"/>
      </w:rPr>
      <w:t>.</w:t>
    </w:r>
    <w:r w:rsidR="0016752E">
      <w:rPr>
        <w:rFonts w:ascii="Verdana" w:eastAsia="Cambria" w:hAnsi="Verdana" w:cs="Arial"/>
        <w:noProof/>
        <w:sz w:val="18"/>
        <w:szCs w:val="18"/>
      </w:rPr>
      <w:t>0</w:t>
    </w:r>
    <w:r w:rsidR="00A52AEE">
      <w:rPr>
        <w:rFonts w:ascii="Verdana" w:eastAsia="Cambria" w:hAnsi="Verdana" w:cs="Arial"/>
        <w:noProof/>
        <w:sz w:val="18"/>
        <w:szCs w:val="18"/>
      </w:rPr>
      <w:t>5</w:t>
    </w:r>
    <w:r w:rsidRPr="00B12E96">
      <w:rPr>
        <w:rFonts w:ascii="Verdana" w:eastAsia="Cambria" w:hAnsi="Verdana" w:cs="Arial"/>
        <w:noProof/>
        <w:sz w:val="18"/>
        <w:szCs w:val="18"/>
      </w:rPr>
      <w:t>.202</w:t>
    </w:r>
    <w:r w:rsidR="0016752E">
      <w:rPr>
        <w:rFonts w:ascii="Verdana" w:eastAsia="Cambria" w:hAnsi="Verdana" w:cs="Arial"/>
        <w:noProof/>
        <w:sz w:val="18"/>
        <w:szCs w:val="18"/>
      </w:rPr>
      <w:t>3</w:t>
    </w:r>
  </w:p>
  <w:p w14:paraId="13A4A942" w14:textId="77777777" w:rsidR="00405F5A" w:rsidRDefault="00405F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748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05AB31EC"/>
    <w:multiLevelType w:val="hybridMultilevel"/>
    <w:tmpl w:val="CC80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351F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21AF0015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5BF172A1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6D812F56"/>
    <w:multiLevelType w:val="multilevel"/>
    <w:tmpl w:val="28CEAE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5A"/>
    <w:rsid w:val="000130B5"/>
    <w:rsid w:val="000433D8"/>
    <w:rsid w:val="00064598"/>
    <w:rsid w:val="000B35A7"/>
    <w:rsid w:val="000B3D6D"/>
    <w:rsid w:val="000D07BD"/>
    <w:rsid w:val="000D432F"/>
    <w:rsid w:val="0016752E"/>
    <w:rsid w:val="001B0797"/>
    <w:rsid w:val="001C7CD2"/>
    <w:rsid w:val="002471EB"/>
    <w:rsid w:val="00254B75"/>
    <w:rsid w:val="00315FCB"/>
    <w:rsid w:val="003560DE"/>
    <w:rsid w:val="003672FF"/>
    <w:rsid w:val="003A373C"/>
    <w:rsid w:val="003C6B5B"/>
    <w:rsid w:val="003E0E60"/>
    <w:rsid w:val="00405F5A"/>
    <w:rsid w:val="00411C1E"/>
    <w:rsid w:val="00416F25"/>
    <w:rsid w:val="0043765F"/>
    <w:rsid w:val="00465289"/>
    <w:rsid w:val="00480267"/>
    <w:rsid w:val="004B207F"/>
    <w:rsid w:val="004D2658"/>
    <w:rsid w:val="004E2DA6"/>
    <w:rsid w:val="005276CD"/>
    <w:rsid w:val="00536752"/>
    <w:rsid w:val="00557F63"/>
    <w:rsid w:val="00561BF3"/>
    <w:rsid w:val="00565CA8"/>
    <w:rsid w:val="0057452E"/>
    <w:rsid w:val="00584CCA"/>
    <w:rsid w:val="0058696B"/>
    <w:rsid w:val="005A4DE4"/>
    <w:rsid w:val="005C1E74"/>
    <w:rsid w:val="005E7C3A"/>
    <w:rsid w:val="00601B8A"/>
    <w:rsid w:val="006118AF"/>
    <w:rsid w:val="00665A10"/>
    <w:rsid w:val="00673B11"/>
    <w:rsid w:val="00673B3F"/>
    <w:rsid w:val="00686B7A"/>
    <w:rsid w:val="006A2F1F"/>
    <w:rsid w:val="006C10C6"/>
    <w:rsid w:val="006C2F46"/>
    <w:rsid w:val="006E4874"/>
    <w:rsid w:val="006F35C4"/>
    <w:rsid w:val="00761118"/>
    <w:rsid w:val="007662E4"/>
    <w:rsid w:val="00766E3F"/>
    <w:rsid w:val="00774F59"/>
    <w:rsid w:val="00783557"/>
    <w:rsid w:val="007C1A65"/>
    <w:rsid w:val="007D4499"/>
    <w:rsid w:val="00806776"/>
    <w:rsid w:val="00815B4E"/>
    <w:rsid w:val="00853002"/>
    <w:rsid w:val="00862988"/>
    <w:rsid w:val="008850B0"/>
    <w:rsid w:val="008E76FC"/>
    <w:rsid w:val="008F1CE3"/>
    <w:rsid w:val="008F32FC"/>
    <w:rsid w:val="00905810"/>
    <w:rsid w:val="00934363"/>
    <w:rsid w:val="00971099"/>
    <w:rsid w:val="00986DF4"/>
    <w:rsid w:val="0099769A"/>
    <w:rsid w:val="009A689F"/>
    <w:rsid w:val="009B410D"/>
    <w:rsid w:val="009C25AB"/>
    <w:rsid w:val="009F7CF3"/>
    <w:rsid w:val="00A00568"/>
    <w:rsid w:val="00A06E20"/>
    <w:rsid w:val="00A07CEE"/>
    <w:rsid w:val="00A1646A"/>
    <w:rsid w:val="00A26898"/>
    <w:rsid w:val="00A315E3"/>
    <w:rsid w:val="00A42804"/>
    <w:rsid w:val="00A45FFB"/>
    <w:rsid w:val="00A52AEE"/>
    <w:rsid w:val="00A546FA"/>
    <w:rsid w:val="00A67601"/>
    <w:rsid w:val="00A94C3A"/>
    <w:rsid w:val="00AB0D3B"/>
    <w:rsid w:val="00AD6039"/>
    <w:rsid w:val="00AE60A5"/>
    <w:rsid w:val="00AE6FAD"/>
    <w:rsid w:val="00B03390"/>
    <w:rsid w:val="00B108BF"/>
    <w:rsid w:val="00B12E96"/>
    <w:rsid w:val="00B40A70"/>
    <w:rsid w:val="00B43DE2"/>
    <w:rsid w:val="00B535B3"/>
    <w:rsid w:val="00BA1D1A"/>
    <w:rsid w:val="00BB5A18"/>
    <w:rsid w:val="00BB7CDD"/>
    <w:rsid w:val="00BC4A84"/>
    <w:rsid w:val="00BE1B89"/>
    <w:rsid w:val="00BF5A72"/>
    <w:rsid w:val="00C04DD4"/>
    <w:rsid w:val="00C311D2"/>
    <w:rsid w:val="00C32D74"/>
    <w:rsid w:val="00C70D90"/>
    <w:rsid w:val="00C72A69"/>
    <w:rsid w:val="00CA172E"/>
    <w:rsid w:val="00CB68B8"/>
    <w:rsid w:val="00CD48EB"/>
    <w:rsid w:val="00CE20D3"/>
    <w:rsid w:val="00CF0ADA"/>
    <w:rsid w:val="00D123DA"/>
    <w:rsid w:val="00D30B81"/>
    <w:rsid w:val="00D510AB"/>
    <w:rsid w:val="00D73442"/>
    <w:rsid w:val="00D8330F"/>
    <w:rsid w:val="00D962B0"/>
    <w:rsid w:val="00DD34ED"/>
    <w:rsid w:val="00DF20BE"/>
    <w:rsid w:val="00DF7568"/>
    <w:rsid w:val="00E0340C"/>
    <w:rsid w:val="00E33E5C"/>
    <w:rsid w:val="00E525B0"/>
    <w:rsid w:val="00E620B1"/>
    <w:rsid w:val="00E843A7"/>
    <w:rsid w:val="00EA3680"/>
    <w:rsid w:val="00EA7E32"/>
    <w:rsid w:val="00EB4B6B"/>
    <w:rsid w:val="00EC1B8D"/>
    <w:rsid w:val="00ED6AE7"/>
    <w:rsid w:val="00EE1D0A"/>
    <w:rsid w:val="00EF2405"/>
    <w:rsid w:val="00F0047C"/>
    <w:rsid w:val="00F07881"/>
    <w:rsid w:val="00F1619A"/>
    <w:rsid w:val="00F161CB"/>
    <w:rsid w:val="00F222E8"/>
    <w:rsid w:val="00F23536"/>
    <w:rsid w:val="00F30B04"/>
    <w:rsid w:val="00F34C0A"/>
    <w:rsid w:val="00F40420"/>
    <w:rsid w:val="00F47965"/>
    <w:rsid w:val="00F527D8"/>
    <w:rsid w:val="00F55160"/>
    <w:rsid w:val="00F70318"/>
    <w:rsid w:val="00F7093D"/>
    <w:rsid w:val="00F72A82"/>
    <w:rsid w:val="00F94D45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9CB1D11"/>
  <w15:chartTrackingRefBased/>
  <w15:docId w15:val="{D8A0A323-A222-4F25-9B54-3F095856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F5A"/>
  </w:style>
  <w:style w:type="paragraph" w:styleId="a5">
    <w:name w:val="footer"/>
    <w:basedOn w:val="a"/>
    <w:link w:val="a6"/>
    <w:uiPriority w:val="99"/>
    <w:unhideWhenUsed/>
    <w:rsid w:val="00405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F5A"/>
  </w:style>
  <w:style w:type="paragraph" w:styleId="a7">
    <w:name w:val="List Paragraph"/>
    <w:basedOn w:val="a"/>
    <w:uiPriority w:val="34"/>
    <w:qFormat/>
    <w:rsid w:val="00405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3672F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54B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4B75"/>
  </w:style>
  <w:style w:type="character" w:customStyle="1" w:styleId="ab">
    <w:name w:val="Текст примечания Знак"/>
    <w:basedOn w:val="a0"/>
    <w:link w:val="aa"/>
    <w:uiPriority w:val="99"/>
    <w:semiHidden/>
    <w:rsid w:val="00254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4B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4B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4B7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4B75"/>
    <w:rPr>
      <w:rFonts w:ascii="Segoe UI" w:eastAsia="Times New Roman" w:hAnsi="Segoe UI" w:cs="Segoe UI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C7CD2"/>
  </w:style>
  <w:style w:type="character" w:customStyle="1" w:styleId="af1">
    <w:name w:val="Текст сноски Знак"/>
    <w:basedOn w:val="a0"/>
    <w:link w:val="af0"/>
    <w:uiPriority w:val="99"/>
    <w:semiHidden/>
    <w:rsid w:val="001C7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C7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1B03-EB20-4455-940B-BF50BAEA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Алена Валерьевна</dc:creator>
  <cp:keywords/>
  <dc:description/>
  <cp:lastModifiedBy>Крысанова Алена Валерьевна</cp:lastModifiedBy>
  <cp:revision>11</cp:revision>
  <dcterms:created xsi:type="dcterms:W3CDTF">2022-11-30T12:50:00Z</dcterms:created>
  <dcterms:modified xsi:type="dcterms:W3CDTF">2023-04-28T10:45:00Z</dcterms:modified>
</cp:coreProperties>
</file>